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C45900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C45900">
              <w:rPr>
                <w:rFonts w:asciiTheme="majorHAnsi" w:eastAsiaTheme="majorHAnsi" w:hAnsiTheme="majorHAnsi" w:hint="eastAsia"/>
                <w:sz w:val="22"/>
                <w:szCs w:val="22"/>
              </w:rPr>
              <w:t>青梅総合高等学校</w:t>
            </w:r>
          </w:p>
        </w:tc>
        <w:tc>
          <w:tcPr>
            <w:tcW w:w="3177" w:type="dxa"/>
          </w:tcPr>
          <w:p w:rsidR="009A7F96" w:rsidRPr="00014D63" w:rsidRDefault="002A3B7A" w:rsidP="002A3B7A">
            <w:pPr>
              <w:spacing w:line="600" w:lineRule="exact"/>
              <w:rPr>
                <w:rFonts w:asciiTheme="majorHAnsi" w:eastAsiaTheme="majorHAnsi" w:hAnsiTheme="majorHAnsi" w:hint="eastAsia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　　　吹奏楽部</w:t>
            </w:r>
          </w:p>
        </w:tc>
        <w:tc>
          <w:tcPr>
            <w:tcW w:w="3177" w:type="dxa"/>
          </w:tcPr>
          <w:p w:rsidR="009A7F96" w:rsidRPr="00014D63" w:rsidRDefault="002A3B7A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井上　真理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1DB" w:rsidRPr="009F21DB" w:rsidRDefault="009F21DB" w:rsidP="009F21DB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2A3B7A">
                              <w:rPr>
                                <w:rFonts w:ascii="游ゴシック" w:eastAsia="游ゴシック" w:hAnsi="游ゴシック" w:hint="eastAsia"/>
                              </w:rPr>
                              <w:t>少人数</w:t>
                            </w:r>
                            <w:r w:rsidR="002A3B7A">
                              <w:rPr>
                                <w:rFonts w:ascii="游ゴシック" w:eastAsia="游ゴシック" w:hAnsi="游ゴシック"/>
                              </w:rPr>
                              <w:t>であっても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「</w:t>
                            </w:r>
                            <w:r w:rsidR="002A3B7A">
                              <w:rPr>
                                <w:rFonts w:ascii="游ゴシック" w:eastAsia="游ゴシック" w:hAnsi="游ゴシック" w:hint="eastAsia"/>
                              </w:rPr>
                              <w:t>吹奏楽」</w:t>
                            </w:r>
                            <w:r w:rsidR="002A3B7A">
                              <w:rPr>
                                <w:rFonts w:ascii="游ゴシック" w:eastAsia="游ゴシック" w:hAnsi="游ゴシック"/>
                              </w:rPr>
                              <w:t>の伝統を絶やさぬよう、</w:t>
                            </w:r>
                            <w:r w:rsidR="002A3B7A">
                              <w:rPr>
                                <w:rFonts w:ascii="游ゴシック" w:eastAsia="游ゴシック" w:hAnsi="游ゴシック" w:hint="eastAsia"/>
                              </w:rPr>
                              <w:t>一人一人が</w:t>
                            </w:r>
                            <w:r w:rsidR="002A3B7A">
                              <w:rPr>
                                <w:rFonts w:ascii="游ゴシック" w:eastAsia="游ゴシック" w:hAnsi="游ゴシック"/>
                              </w:rPr>
                              <w:t>自覚と責任をもって</w:t>
                            </w:r>
                            <w:r w:rsidR="002A3B7A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2A3B7A">
                              <w:rPr>
                                <w:rFonts w:ascii="游ゴシック" w:eastAsia="游ゴシック" w:hAnsi="游ゴシック"/>
                              </w:rPr>
                              <w:t>生徒主体で練習に取り組む。</w:t>
                            </w:r>
                          </w:p>
                          <w:p w:rsidR="000E68FB" w:rsidRPr="009F21DB" w:rsidRDefault="009F21D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2A3B7A">
                              <w:rPr>
                                <w:rFonts w:ascii="游ゴシック" w:eastAsia="游ゴシック" w:hAnsi="游ゴシック" w:hint="eastAsia"/>
                              </w:rPr>
                              <w:t>「</w:t>
                            </w:r>
                            <w:r w:rsidR="002A3B7A">
                              <w:rPr>
                                <w:rFonts w:ascii="游ゴシック" w:eastAsia="游ゴシック" w:hAnsi="游ゴシック"/>
                              </w:rPr>
                              <w:t>外部指導員</w:t>
                            </w:r>
                            <w:r w:rsidR="002A3B7A">
                              <w:rPr>
                                <w:rFonts w:ascii="游ゴシック" w:eastAsia="游ゴシック" w:hAnsi="游ゴシック" w:hint="eastAsia"/>
                              </w:rPr>
                              <w:t>」から</w:t>
                            </w:r>
                            <w:r w:rsidR="002A3B7A">
                              <w:rPr>
                                <w:rFonts w:ascii="游ゴシック" w:eastAsia="游ゴシック" w:hAnsi="游ゴシック"/>
                              </w:rPr>
                              <w:t>音楽に取り組む姿勢・技術など</w:t>
                            </w:r>
                            <w:r w:rsidR="002A3B7A">
                              <w:rPr>
                                <w:rFonts w:ascii="游ゴシック" w:eastAsia="游ゴシック" w:hAnsi="游ゴシック" w:hint="eastAsia"/>
                              </w:rPr>
                              <w:t>出来るだけ</w:t>
                            </w:r>
                            <w:r w:rsidR="002A3B7A">
                              <w:rPr>
                                <w:rFonts w:ascii="游ゴシック" w:eastAsia="游ゴシック" w:hAnsi="游ゴシック"/>
                              </w:rPr>
                              <w:t>多くのことを吸収する。</w:t>
                            </w:r>
                          </w:p>
                          <w:p w:rsidR="000E68FB" w:rsidRDefault="002A3B7A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必要な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技術を前提として、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最終的に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みんなで楽し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く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」</w:t>
                            </w:r>
                            <w:r w:rsidR="00577E6D">
                              <w:rPr>
                                <w:rFonts w:ascii="游ゴシック" w:eastAsia="游ゴシック" w:hAnsi="游ゴシック" w:hint="eastAsia"/>
                              </w:rPr>
                              <w:t>演奏に取り組む</w:t>
                            </w:r>
                          </w:p>
                          <w:p w:rsidR="000E68FB" w:rsidRPr="002A3B7A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9F21DB" w:rsidRPr="009F21DB" w:rsidRDefault="009F21DB" w:rsidP="009F21DB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2A3B7A">
                        <w:rPr>
                          <w:rFonts w:ascii="游ゴシック" w:eastAsia="游ゴシック" w:hAnsi="游ゴシック" w:hint="eastAsia"/>
                        </w:rPr>
                        <w:t>少人数</w:t>
                      </w:r>
                      <w:r w:rsidR="002A3B7A">
                        <w:rPr>
                          <w:rFonts w:ascii="游ゴシック" w:eastAsia="游ゴシック" w:hAnsi="游ゴシック"/>
                        </w:rPr>
                        <w:t>であっても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「</w:t>
                      </w:r>
                      <w:r w:rsidR="002A3B7A">
                        <w:rPr>
                          <w:rFonts w:ascii="游ゴシック" w:eastAsia="游ゴシック" w:hAnsi="游ゴシック" w:hint="eastAsia"/>
                        </w:rPr>
                        <w:t>吹奏楽」</w:t>
                      </w:r>
                      <w:r w:rsidR="002A3B7A">
                        <w:rPr>
                          <w:rFonts w:ascii="游ゴシック" w:eastAsia="游ゴシック" w:hAnsi="游ゴシック"/>
                        </w:rPr>
                        <w:t>の伝統を絶やさぬよう、</w:t>
                      </w:r>
                      <w:r w:rsidR="002A3B7A">
                        <w:rPr>
                          <w:rFonts w:ascii="游ゴシック" w:eastAsia="游ゴシック" w:hAnsi="游ゴシック" w:hint="eastAsia"/>
                        </w:rPr>
                        <w:t>一人一人が</w:t>
                      </w:r>
                      <w:r w:rsidR="002A3B7A">
                        <w:rPr>
                          <w:rFonts w:ascii="游ゴシック" w:eastAsia="游ゴシック" w:hAnsi="游ゴシック"/>
                        </w:rPr>
                        <w:t>自覚と責任をもって</w:t>
                      </w:r>
                      <w:r w:rsidR="002A3B7A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2A3B7A">
                        <w:rPr>
                          <w:rFonts w:ascii="游ゴシック" w:eastAsia="游ゴシック" w:hAnsi="游ゴシック"/>
                        </w:rPr>
                        <w:t>生徒主体で練習に取り組む。</w:t>
                      </w:r>
                    </w:p>
                    <w:p w:rsidR="000E68FB" w:rsidRPr="009F21DB" w:rsidRDefault="009F21D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2A3B7A">
                        <w:rPr>
                          <w:rFonts w:ascii="游ゴシック" w:eastAsia="游ゴシック" w:hAnsi="游ゴシック" w:hint="eastAsia"/>
                        </w:rPr>
                        <w:t>「</w:t>
                      </w:r>
                      <w:r w:rsidR="002A3B7A">
                        <w:rPr>
                          <w:rFonts w:ascii="游ゴシック" w:eastAsia="游ゴシック" w:hAnsi="游ゴシック"/>
                        </w:rPr>
                        <w:t>外部指導員</w:t>
                      </w:r>
                      <w:r w:rsidR="002A3B7A">
                        <w:rPr>
                          <w:rFonts w:ascii="游ゴシック" w:eastAsia="游ゴシック" w:hAnsi="游ゴシック" w:hint="eastAsia"/>
                        </w:rPr>
                        <w:t>」から</w:t>
                      </w:r>
                      <w:r w:rsidR="002A3B7A">
                        <w:rPr>
                          <w:rFonts w:ascii="游ゴシック" w:eastAsia="游ゴシック" w:hAnsi="游ゴシック"/>
                        </w:rPr>
                        <w:t>音楽に取り組む姿勢・技術など</w:t>
                      </w:r>
                      <w:r w:rsidR="002A3B7A">
                        <w:rPr>
                          <w:rFonts w:ascii="游ゴシック" w:eastAsia="游ゴシック" w:hAnsi="游ゴシック" w:hint="eastAsia"/>
                        </w:rPr>
                        <w:t>出来るだけ</w:t>
                      </w:r>
                      <w:r w:rsidR="002A3B7A">
                        <w:rPr>
                          <w:rFonts w:ascii="游ゴシック" w:eastAsia="游ゴシック" w:hAnsi="游ゴシック"/>
                        </w:rPr>
                        <w:t>多くのことを吸収する。</w:t>
                      </w:r>
                    </w:p>
                    <w:p w:rsidR="000E68FB" w:rsidRDefault="002A3B7A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必要な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技術を前提として、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最終的に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「</w:t>
                      </w:r>
                      <w:r>
                        <w:rPr>
                          <w:rFonts w:ascii="游ゴシック" w:eastAsia="游ゴシック" w:hAnsi="游ゴシック"/>
                        </w:rPr>
                        <w:t>みんなで楽し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く</w:t>
                      </w:r>
                      <w:r>
                        <w:rPr>
                          <w:rFonts w:ascii="游ゴシック" w:eastAsia="游ゴシック" w:hAnsi="游ゴシック"/>
                        </w:rPr>
                        <w:t>」</w:t>
                      </w:r>
                      <w:r w:rsidR="00577E6D">
                        <w:rPr>
                          <w:rFonts w:ascii="游ゴシック" w:eastAsia="游ゴシック" w:hAnsi="游ゴシック" w:hint="eastAsia"/>
                        </w:rPr>
                        <w:t>演奏に取り組む</w:t>
                      </w:r>
                    </w:p>
                    <w:p w:rsidR="000E68FB" w:rsidRPr="002A3B7A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5187" w:rsidRDefault="00815187" w:rsidP="0081518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77E6D">
                              <w:rPr>
                                <w:rFonts w:ascii="游ゴシック" w:eastAsia="游ゴシック" w:hAnsi="游ゴシック" w:hint="eastAsia"/>
                              </w:rPr>
                              <w:t>演奏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中以外は不織布マスクを着用し、マスクを外す場面では会話を控える。</w:t>
                            </w:r>
                          </w:p>
                          <w:p w:rsidR="00A25DA8" w:rsidRDefault="009F21D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・活動前後または途中に手指の手洗い、または消毒を行う。</w:t>
                            </w:r>
                          </w:p>
                          <w:p w:rsidR="00577E6D" w:rsidRDefault="00577E6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常に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換気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を心掛け、合同練習以外では密にならないよう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工夫する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9F21DB" w:rsidRPr="000E68FB" w:rsidRDefault="009F21D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用具など、使用後は適宜消毒を行う。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815187" w:rsidRDefault="00815187" w:rsidP="0081518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77E6D">
                        <w:rPr>
                          <w:rFonts w:ascii="游ゴシック" w:eastAsia="游ゴシック" w:hAnsi="游ゴシック" w:hint="eastAsia"/>
                        </w:rPr>
                        <w:t>演奏</w:t>
                      </w:r>
                      <w:r>
                        <w:rPr>
                          <w:rFonts w:ascii="游ゴシック" w:eastAsia="游ゴシック" w:hAnsi="游ゴシック"/>
                        </w:rPr>
                        <w:t>中以外は不織布マスクを着用し、マスクを外す場面では会話を控える。</w:t>
                      </w:r>
                    </w:p>
                    <w:p w:rsidR="00A25DA8" w:rsidRDefault="009F21D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・活動前後または途中に手指の手洗い、または消毒を行う。</w:t>
                      </w:r>
                    </w:p>
                    <w:p w:rsidR="00577E6D" w:rsidRDefault="00577E6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常に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換気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を心掛け、合同練習以外では密にならないよう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工夫する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9F21DB" w:rsidRPr="000E68FB" w:rsidRDefault="009F21D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用具など、使用後は適宜消毒を行う。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81518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毎日、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および健康観察を行う。</w:t>
                            </w:r>
                          </w:p>
                          <w:p w:rsidR="00815187" w:rsidRDefault="0081518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・体調に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少しでも不安・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異常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・違和感</w:t>
                            </w:r>
                            <w:r w:rsidR="009F21DB">
                              <w:rPr>
                                <w:rFonts w:ascii="游ゴシック" w:eastAsia="游ゴシック" w:hAnsi="游ゴシック" w:hint="eastAsia"/>
                              </w:rPr>
                              <w:t>が</w:t>
                            </w:r>
                            <w:r w:rsidR="009F21DB">
                              <w:rPr>
                                <w:rFonts w:ascii="游ゴシック" w:eastAsia="游ゴシック" w:hAnsi="游ゴシック"/>
                              </w:rPr>
                              <w:t>ある場合は練習参加を控えて療養する。</w:t>
                            </w:r>
                          </w:p>
                          <w:p w:rsidR="009F21DB" w:rsidRPr="009F21DB" w:rsidRDefault="009F21D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部活動終了後は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速やかに帰宅して途中での飲食は控える。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81518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毎日、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>
                        <w:rPr>
                          <w:rFonts w:ascii="游ゴシック" w:eastAsia="游ゴシック" w:hAnsi="游ゴシック"/>
                        </w:rPr>
                        <w:t>および健康観察を行う。</w:t>
                      </w:r>
                    </w:p>
                    <w:p w:rsidR="00815187" w:rsidRDefault="0081518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・体調に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少しでも不安・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異常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・違和感</w:t>
                      </w:r>
                      <w:r w:rsidR="009F21DB">
                        <w:rPr>
                          <w:rFonts w:ascii="游ゴシック" w:eastAsia="游ゴシック" w:hAnsi="游ゴシック" w:hint="eastAsia"/>
                        </w:rPr>
                        <w:t>が</w:t>
                      </w:r>
                      <w:r w:rsidR="009F21DB">
                        <w:rPr>
                          <w:rFonts w:ascii="游ゴシック" w:eastAsia="游ゴシック" w:hAnsi="游ゴシック"/>
                        </w:rPr>
                        <w:t>ある場合は練習参加を控えて療養する。</w:t>
                      </w:r>
                    </w:p>
                    <w:p w:rsidR="009F21DB" w:rsidRPr="009F21DB" w:rsidRDefault="009F21D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部活動終了後は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速やかに帰宅して途中での飲食は控える。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81518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77E6D">
                              <w:rPr>
                                <w:rFonts w:ascii="游ゴシック" w:eastAsia="游ゴシック" w:hAnsi="游ゴシック" w:hint="eastAsia"/>
                              </w:rPr>
                              <w:t>音楽室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および</w:t>
                            </w:r>
                            <w:r w:rsidR="00577E6D">
                              <w:rPr>
                                <w:rFonts w:ascii="游ゴシック" w:eastAsia="游ゴシック" w:hAnsi="游ゴシック" w:hint="eastAsia"/>
                              </w:rPr>
                              <w:t>練習場所の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換気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を徹底する。</w:t>
                            </w:r>
                          </w:p>
                          <w:p w:rsidR="00815187" w:rsidRDefault="0081518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不織布マスクを着用し、</w:t>
                            </w:r>
                            <w:r w:rsidR="00577E6D">
                              <w:rPr>
                                <w:rFonts w:ascii="游ゴシック" w:eastAsia="游ゴシック" w:hAnsi="游ゴシック" w:hint="eastAsia"/>
                              </w:rPr>
                              <w:t>長時間</w:t>
                            </w:r>
                            <w:r w:rsidR="00577E6D">
                              <w:rPr>
                                <w:rFonts w:ascii="游ゴシック" w:eastAsia="游ゴシック" w:hAnsi="游ゴシック"/>
                              </w:rPr>
                              <w:t>一か所に留まらないよう工夫する。</w:t>
                            </w:r>
                          </w:p>
                          <w:p w:rsidR="00815187" w:rsidRPr="00815187" w:rsidRDefault="0081518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77E6D">
                              <w:rPr>
                                <w:rFonts w:ascii="游ゴシック" w:eastAsia="游ゴシック" w:hAnsi="游ゴシック" w:hint="eastAsia"/>
                              </w:rPr>
                              <w:t>移動時にも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換気と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不織布マスク着用を徹底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の上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、会話はしない。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81518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77E6D">
                        <w:rPr>
                          <w:rFonts w:ascii="游ゴシック" w:eastAsia="游ゴシック" w:hAnsi="游ゴシック" w:hint="eastAsia"/>
                        </w:rPr>
                        <w:t>音楽室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および</w:t>
                      </w:r>
                      <w:r w:rsidR="00577E6D">
                        <w:rPr>
                          <w:rFonts w:ascii="游ゴシック" w:eastAsia="游ゴシック" w:hAnsi="游ゴシック" w:hint="eastAsia"/>
                        </w:rPr>
                        <w:t>練習場所の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換気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を徹底する。</w:t>
                      </w:r>
                    </w:p>
                    <w:p w:rsidR="00815187" w:rsidRDefault="0081518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不織布マスクを着用し、</w:t>
                      </w:r>
                      <w:r w:rsidR="00577E6D">
                        <w:rPr>
                          <w:rFonts w:ascii="游ゴシック" w:eastAsia="游ゴシック" w:hAnsi="游ゴシック" w:hint="eastAsia"/>
                        </w:rPr>
                        <w:t>長時間</w:t>
                      </w:r>
                      <w:r w:rsidR="00577E6D">
                        <w:rPr>
                          <w:rFonts w:ascii="游ゴシック" w:eastAsia="游ゴシック" w:hAnsi="游ゴシック"/>
                        </w:rPr>
                        <w:t>一か所に留まらないよう工夫する。</w:t>
                      </w:r>
                    </w:p>
                    <w:p w:rsidR="00815187" w:rsidRPr="00815187" w:rsidRDefault="0081518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77E6D">
                        <w:rPr>
                          <w:rFonts w:ascii="游ゴシック" w:eastAsia="游ゴシック" w:hAnsi="游ゴシック" w:hint="eastAsia"/>
                        </w:rPr>
                        <w:t>移動時にも</w:t>
                      </w:r>
                      <w:r>
                        <w:rPr>
                          <w:rFonts w:ascii="游ゴシック" w:eastAsia="游ゴシック" w:hAnsi="游ゴシック"/>
                        </w:rPr>
                        <w:t>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換気と</w:t>
                      </w:r>
                      <w:r>
                        <w:rPr>
                          <w:rFonts w:ascii="游ゴシック" w:eastAsia="游ゴシック" w:hAnsi="游ゴシック"/>
                        </w:rPr>
                        <w:t>不織布マスク着用を徹底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の上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、会話はしない。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1DB" w:rsidRPr="009F21DB" w:rsidRDefault="009F21DB" w:rsidP="009F21D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F21DB">
                              <w:rPr>
                                <w:rFonts w:ascii="游ゴシック" w:eastAsia="游ゴシック" w:hAnsi="游ゴシック" w:hint="eastAsia"/>
                              </w:rPr>
                              <w:t>・部長会で得た情報を基に、注意喚起や行動の確認と見直しを適宜行う。</w:t>
                            </w:r>
                          </w:p>
                          <w:p w:rsidR="000E68FB" w:rsidRPr="000E68FB" w:rsidRDefault="009F21DB" w:rsidP="009F21DB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F21DB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77E6D">
                              <w:rPr>
                                <w:rFonts w:ascii="游ゴシック" w:eastAsia="游ゴシック" w:hAnsi="游ゴシック" w:hint="eastAsia"/>
                              </w:rPr>
                              <w:t>吹奏楽</w:t>
                            </w:r>
                            <w:bookmarkStart w:id="0" w:name="_GoBack"/>
                            <w:bookmarkEnd w:id="0"/>
                            <w:r w:rsidRPr="009F21DB">
                              <w:rPr>
                                <w:rFonts w:ascii="游ゴシック" w:eastAsia="游ゴシック" w:hAnsi="游ゴシック" w:hint="eastAsia"/>
                              </w:rPr>
                              <w:t>部員として新型コロナ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ウイルス感染の予防と拡大防止の自覚を意識するように、部員それぞれが</w:t>
                            </w:r>
                            <w:r w:rsidRPr="009F21DB">
                              <w:rPr>
                                <w:rFonts w:ascii="游ゴシック" w:eastAsia="游ゴシック" w:hAnsi="游ゴシック" w:hint="eastAsia"/>
                              </w:rPr>
                              <w:t>コミュニケーションをとる。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9F21DB" w:rsidRPr="009F21DB" w:rsidRDefault="009F21DB" w:rsidP="009F21D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9F21DB">
                        <w:rPr>
                          <w:rFonts w:ascii="游ゴシック" w:eastAsia="游ゴシック" w:hAnsi="游ゴシック" w:hint="eastAsia"/>
                        </w:rPr>
                        <w:t>・部長会で得た情報を基に、注意喚起や行動の確認と見直しを適宜行う。</w:t>
                      </w:r>
                    </w:p>
                    <w:p w:rsidR="000E68FB" w:rsidRPr="000E68FB" w:rsidRDefault="009F21DB" w:rsidP="009F21DB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9F21DB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77E6D">
                        <w:rPr>
                          <w:rFonts w:ascii="游ゴシック" w:eastAsia="游ゴシック" w:hAnsi="游ゴシック" w:hint="eastAsia"/>
                        </w:rPr>
                        <w:t>吹奏楽</w:t>
                      </w:r>
                      <w:bookmarkStart w:id="1" w:name="_GoBack"/>
                      <w:bookmarkEnd w:id="1"/>
                      <w:r w:rsidRPr="009F21DB">
                        <w:rPr>
                          <w:rFonts w:ascii="游ゴシック" w:eastAsia="游ゴシック" w:hAnsi="游ゴシック" w:hint="eastAsia"/>
                        </w:rPr>
                        <w:t>部員として新型コロナ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ウイルス感染の予防と拡大防止の自覚を意識するように、部員それぞれが</w:t>
                      </w:r>
                      <w:r w:rsidRPr="009F21DB">
                        <w:rPr>
                          <w:rFonts w:ascii="游ゴシック" w:eastAsia="游ゴシック" w:hAnsi="游ゴシック" w:hint="eastAsia"/>
                        </w:rPr>
                        <w:t>コミュニケーションをとる。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sectPr w:rsidR="000E68FB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19" w:rsidRDefault="00034419" w:rsidP="002B3693">
      <w:r>
        <w:separator/>
      </w:r>
    </w:p>
  </w:endnote>
  <w:endnote w:type="continuationSeparator" w:id="0">
    <w:p w:rsidR="00034419" w:rsidRDefault="00034419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19" w:rsidRDefault="00034419" w:rsidP="002B3693">
      <w:r>
        <w:separator/>
      </w:r>
    </w:p>
  </w:footnote>
  <w:footnote w:type="continuationSeparator" w:id="0">
    <w:p w:rsidR="00034419" w:rsidRDefault="00034419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34419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A3B7A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77E6D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5187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21D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45900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7D957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D56E-742D-4A77-9194-A9175745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2</cp:revision>
  <cp:lastPrinted>2018-05-10T10:51:00Z</cp:lastPrinted>
  <dcterms:created xsi:type="dcterms:W3CDTF">2022-05-13T03:45:00Z</dcterms:created>
  <dcterms:modified xsi:type="dcterms:W3CDTF">2022-05-13T03:45:00Z</dcterms:modified>
</cp:coreProperties>
</file>