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4597"/>
        <w:gridCol w:w="5103"/>
      </w:tblGrid>
      <w:tr w:rsidR="000847A5" w:rsidTr="00A26170">
        <w:trPr>
          <w:tblHeader/>
        </w:trPr>
        <w:tc>
          <w:tcPr>
            <w:tcW w:w="5103" w:type="dxa"/>
            <w:gridSpan w:val="2"/>
            <w:shd w:val="clear" w:color="auto" w:fill="CCFFFF"/>
          </w:tcPr>
          <w:p w:rsidR="000847A5" w:rsidRPr="00FD6F6D" w:rsidRDefault="000847A5" w:rsidP="00FD6F6D">
            <w:pPr>
              <w:jc w:val="center"/>
              <w:rPr>
                <w:rFonts w:ascii="ＭＳ ゴシック" w:eastAsia="ＭＳ ゴシック" w:hAnsi="ＭＳ ゴシック"/>
              </w:rPr>
            </w:pPr>
            <w:r w:rsidRPr="00FD6F6D">
              <w:rPr>
                <w:rFonts w:ascii="ＭＳ ゴシック" w:eastAsia="ＭＳ ゴシック" w:hAnsi="ＭＳ ゴシック" w:hint="eastAsia"/>
              </w:rPr>
              <w:t>学習指導要領</w:t>
            </w:r>
          </w:p>
        </w:tc>
        <w:tc>
          <w:tcPr>
            <w:tcW w:w="5103" w:type="dxa"/>
            <w:shd w:val="clear" w:color="auto" w:fill="CCFFFF"/>
          </w:tcPr>
          <w:p w:rsidR="000847A5" w:rsidRPr="00FD6F6D" w:rsidRDefault="00F97633" w:rsidP="00FD6F6D">
            <w:pPr>
              <w:jc w:val="center"/>
              <w:rPr>
                <w:rFonts w:ascii="ＭＳ ゴシック" w:eastAsia="ＭＳ ゴシック" w:hAnsi="ＭＳ ゴシック"/>
              </w:rPr>
            </w:pPr>
            <w:r>
              <w:rPr>
                <w:rFonts w:ascii="ＭＳ ゴシック" w:eastAsia="ＭＳ ゴシック" w:hAnsi="ＭＳ ゴシック" w:hint="eastAsia"/>
              </w:rPr>
              <w:t>都立野津田</w:t>
            </w:r>
            <w:r w:rsidR="00A26170">
              <w:rPr>
                <w:rFonts w:ascii="ＭＳ ゴシック" w:eastAsia="ＭＳ ゴシック" w:hAnsi="ＭＳ ゴシック" w:hint="eastAsia"/>
              </w:rPr>
              <w:t>高校　学力</w:t>
            </w:r>
            <w:r w:rsidR="000847A5" w:rsidRPr="00FD6F6D">
              <w:rPr>
                <w:rFonts w:ascii="ＭＳ ゴシック" w:eastAsia="ＭＳ ゴシック" w:hAnsi="ＭＳ ゴシック" w:hint="eastAsia"/>
              </w:rPr>
              <w:t>スタンダード</w:t>
            </w:r>
          </w:p>
        </w:tc>
      </w:tr>
      <w:tr w:rsidR="000847A5" w:rsidRPr="00EC0977" w:rsidTr="00DA2200">
        <w:trPr>
          <w:trHeight w:val="13116"/>
        </w:trPr>
        <w:tc>
          <w:tcPr>
            <w:tcW w:w="506" w:type="dxa"/>
          </w:tcPr>
          <w:p w:rsidR="00DA2200" w:rsidRDefault="00DA2200" w:rsidP="00031D86">
            <w:pPr>
              <w:jc w:val="center"/>
            </w:pPr>
          </w:p>
          <w:p w:rsidR="000847A5" w:rsidRPr="00FF772A" w:rsidRDefault="000847A5" w:rsidP="00031D86">
            <w:pPr>
              <w:jc w:val="center"/>
              <w:rPr>
                <w:rFonts w:ascii="ＭＳ 明朝" w:hAnsi="ＭＳ 明朝"/>
              </w:rPr>
            </w:pPr>
            <w:r>
              <w:rPr>
                <w:rFonts w:hint="eastAsia"/>
              </w:rPr>
              <w:t>聞くこと</w:t>
            </w: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46196F" w:rsidRDefault="0046196F" w:rsidP="00031D86">
            <w:pPr>
              <w:jc w:val="center"/>
              <w:rPr>
                <w:rFonts w:ascii="ＭＳ 明朝" w:hAnsi="ＭＳ 明朝"/>
              </w:rPr>
            </w:pPr>
          </w:p>
          <w:p w:rsidR="0046196F" w:rsidRDefault="0046196F" w:rsidP="00031D86">
            <w:pPr>
              <w:jc w:val="center"/>
              <w:rPr>
                <w:rFonts w:ascii="ＭＳ 明朝" w:hAnsi="ＭＳ 明朝"/>
              </w:rPr>
            </w:pPr>
          </w:p>
          <w:p w:rsidR="0046196F" w:rsidRDefault="0046196F" w:rsidP="00031D86">
            <w:pPr>
              <w:jc w:val="center"/>
              <w:rPr>
                <w:rFonts w:ascii="ＭＳ 明朝" w:hAnsi="ＭＳ 明朝"/>
              </w:rPr>
            </w:pPr>
          </w:p>
          <w:p w:rsidR="0046196F" w:rsidRDefault="0046196F" w:rsidP="00031D86">
            <w:pPr>
              <w:jc w:val="center"/>
              <w:rPr>
                <w:rFonts w:ascii="ＭＳ 明朝" w:hAnsi="ＭＳ 明朝"/>
              </w:rPr>
            </w:pPr>
          </w:p>
          <w:p w:rsidR="000847A5" w:rsidRDefault="000847A5" w:rsidP="00031D86">
            <w:pPr>
              <w:jc w:val="center"/>
              <w:rPr>
                <w:rFonts w:ascii="ＭＳ 明朝" w:hAnsi="ＭＳ 明朝"/>
              </w:rPr>
            </w:pPr>
            <w:r>
              <w:rPr>
                <w:rFonts w:hint="eastAsia"/>
              </w:rPr>
              <w:t>読むこと</w:t>
            </w: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p w:rsidR="000847A5" w:rsidRDefault="000847A5" w:rsidP="00031D86">
            <w:pPr>
              <w:jc w:val="center"/>
              <w:rPr>
                <w:rFonts w:ascii="ＭＳ 明朝" w:hAnsi="ＭＳ 明朝"/>
              </w:rPr>
            </w:pPr>
          </w:p>
          <w:p w:rsidR="00DA2200" w:rsidRPr="007E56A1" w:rsidRDefault="00DA2200" w:rsidP="00031D86">
            <w:pPr>
              <w:jc w:val="center"/>
            </w:pPr>
          </w:p>
          <w:p w:rsidR="000847A5" w:rsidRDefault="000847A5" w:rsidP="00031D86">
            <w:pPr>
              <w:jc w:val="center"/>
              <w:rPr>
                <w:rFonts w:ascii="ＭＳ 明朝" w:hAnsi="ＭＳ 明朝"/>
              </w:rPr>
            </w:pPr>
            <w:r>
              <w:rPr>
                <w:rFonts w:hint="eastAsia"/>
              </w:rPr>
              <w:t>話すこと</w:t>
            </w: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r>
              <w:rPr>
                <w:rFonts w:hint="eastAsia"/>
              </w:rPr>
              <w:t>書くこと</w:t>
            </w: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Default="000847A5" w:rsidP="00031D86">
            <w:pPr>
              <w:jc w:val="center"/>
              <w:rPr>
                <w:rFonts w:ascii="ＭＳ 明朝" w:hAnsi="ＭＳ 明朝"/>
              </w:rPr>
            </w:pPr>
          </w:p>
          <w:p w:rsidR="000847A5" w:rsidRPr="00FF772A" w:rsidRDefault="000847A5" w:rsidP="00031D86">
            <w:pPr>
              <w:jc w:val="center"/>
              <w:rPr>
                <w:rFonts w:ascii="ＭＳ 明朝" w:hAnsi="ＭＳ 明朝"/>
              </w:rPr>
            </w:pPr>
          </w:p>
        </w:tc>
        <w:tc>
          <w:tcPr>
            <w:tcW w:w="4541" w:type="dxa"/>
          </w:tcPr>
          <w:p w:rsidR="002F0F0D" w:rsidRPr="002F0F0D" w:rsidRDefault="002F0F0D" w:rsidP="002F0F0D">
            <w:pPr>
              <w:ind w:left="196" w:hangingChars="100" w:hanging="196"/>
            </w:pPr>
            <w:r w:rsidRPr="002F0F0D">
              <w:rPr>
                <w:rFonts w:hint="eastAsia"/>
              </w:rPr>
              <w:lastRenderedPageBreak/>
              <w:t>ア　事物に関する紹介や報告、対話や討論などを聞いて、情報や考えなどを理解したり、概要や要点をとらえたりする。</w:t>
            </w:r>
          </w:p>
          <w:p w:rsidR="000847A5" w:rsidRPr="002F0F0D" w:rsidRDefault="000847A5" w:rsidP="000847A5">
            <w:pPr>
              <w:ind w:left="196" w:hangingChars="100" w:hanging="196"/>
              <w:rPr>
                <w:rFonts w:ascii="ＭＳ 明朝" w:hAnsi="ＭＳ 明朝"/>
                <w:szCs w:val="21"/>
              </w:rPr>
            </w:pPr>
          </w:p>
          <w:p w:rsidR="000847A5" w:rsidRDefault="000847A5" w:rsidP="000847A5">
            <w:pPr>
              <w:ind w:left="196" w:hangingChars="100" w:hanging="196"/>
              <w:rPr>
                <w:rFonts w:ascii="ＭＳ 明朝" w:hAnsi="ＭＳ 明朝"/>
                <w:szCs w:val="21"/>
              </w:rPr>
            </w:pPr>
          </w:p>
          <w:p w:rsidR="000847A5" w:rsidRDefault="000847A5" w:rsidP="000847A5">
            <w:pPr>
              <w:ind w:left="196" w:hangingChars="100" w:hanging="196"/>
              <w:rPr>
                <w:rFonts w:ascii="ＭＳ 明朝" w:hAnsi="ＭＳ 明朝"/>
                <w:szCs w:val="21"/>
              </w:rPr>
            </w:pPr>
          </w:p>
          <w:p w:rsidR="000847A5" w:rsidRDefault="000847A5" w:rsidP="000847A5">
            <w:pPr>
              <w:ind w:left="196" w:hangingChars="100" w:hanging="196"/>
              <w:rPr>
                <w:rFonts w:ascii="ＭＳ 明朝" w:hAnsi="ＭＳ 明朝"/>
                <w:szCs w:val="21"/>
              </w:rPr>
            </w:pPr>
          </w:p>
          <w:p w:rsidR="000847A5" w:rsidRPr="00AE7DA7" w:rsidRDefault="000847A5" w:rsidP="000847A5">
            <w:pPr>
              <w:ind w:left="196" w:hangingChars="100" w:hanging="196"/>
              <w:rPr>
                <w:rFonts w:ascii="ＭＳ 明朝" w:hAnsi="ＭＳ 明朝"/>
                <w:szCs w:val="21"/>
              </w:rPr>
            </w:pPr>
          </w:p>
          <w:p w:rsidR="000847A5" w:rsidRPr="00AE7DA7" w:rsidRDefault="000847A5" w:rsidP="00345458">
            <w:pPr>
              <w:rPr>
                <w:rFonts w:ascii="ＭＳ 明朝" w:hAnsi="ＭＳ 明朝"/>
                <w:szCs w:val="21"/>
              </w:rPr>
            </w:pPr>
          </w:p>
          <w:p w:rsidR="000847A5" w:rsidRPr="00AE7DA7" w:rsidRDefault="000847A5" w:rsidP="00345458">
            <w:pPr>
              <w:rPr>
                <w:rFonts w:ascii="ＭＳ 明朝" w:hAnsi="ＭＳ 明朝"/>
                <w:szCs w:val="21"/>
              </w:rPr>
            </w:pPr>
          </w:p>
          <w:p w:rsidR="000847A5" w:rsidRPr="00AE7DA7"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2F0F0D" w:rsidRPr="002F0F0D" w:rsidRDefault="002F0F0D" w:rsidP="00F97633">
            <w:r w:rsidRPr="002F0F0D">
              <w:rPr>
                <w:rFonts w:hint="eastAsia"/>
              </w:rPr>
              <w:t>イ　説明、評論、物語、随筆などについて、速読したり精読したりするなど目的に応じた読み方をする。また、聞き手に伝わるように音読や暗唱を行う。</w:t>
            </w:r>
          </w:p>
          <w:p w:rsidR="000847A5" w:rsidRPr="002F0F0D"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F97633" w:rsidRDefault="00F97633" w:rsidP="00345458">
            <w:pPr>
              <w:rPr>
                <w:rFonts w:ascii="ＭＳ 明朝" w:hAnsi="ＭＳ 明朝"/>
                <w:szCs w:val="21"/>
              </w:rPr>
            </w:pPr>
          </w:p>
          <w:p w:rsidR="00F97633" w:rsidRDefault="00F97633" w:rsidP="00345458">
            <w:pPr>
              <w:rPr>
                <w:rFonts w:ascii="ＭＳ 明朝" w:hAnsi="ＭＳ 明朝"/>
                <w:szCs w:val="21"/>
              </w:rPr>
            </w:pPr>
          </w:p>
          <w:p w:rsidR="00F97633" w:rsidRDefault="00F97633" w:rsidP="00345458">
            <w:pPr>
              <w:rPr>
                <w:rFonts w:ascii="ＭＳ 明朝" w:hAnsi="ＭＳ 明朝"/>
                <w:szCs w:val="21"/>
              </w:rPr>
            </w:pPr>
          </w:p>
          <w:p w:rsidR="00F97633" w:rsidRDefault="00F97633" w:rsidP="00345458">
            <w:pPr>
              <w:rPr>
                <w:rFonts w:ascii="ＭＳ 明朝" w:hAnsi="ＭＳ 明朝"/>
                <w:szCs w:val="21"/>
              </w:rPr>
            </w:pPr>
          </w:p>
          <w:p w:rsidR="00F97633" w:rsidRDefault="00F97633" w:rsidP="00345458">
            <w:pPr>
              <w:rPr>
                <w:rFonts w:ascii="ＭＳ 明朝" w:hAnsi="ＭＳ 明朝"/>
                <w:szCs w:val="21"/>
              </w:rPr>
            </w:pPr>
          </w:p>
          <w:p w:rsidR="000847A5" w:rsidRDefault="000847A5" w:rsidP="00345458">
            <w:pPr>
              <w:rPr>
                <w:rFonts w:ascii="ＭＳ 明朝" w:hAnsi="ＭＳ 明朝"/>
                <w:szCs w:val="21"/>
              </w:rPr>
            </w:pPr>
          </w:p>
          <w:p w:rsidR="000847A5" w:rsidRDefault="002F0F0D" w:rsidP="002F0F0D">
            <w:pPr>
              <w:ind w:left="196" w:hangingChars="100" w:hanging="196"/>
              <w:rPr>
                <w:rFonts w:ascii="ＭＳ 明朝" w:hAnsi="ＭＳ 明朝"/>
                <w:szCs w:val="21"/>
              </w:rPr>
            </w:pPr>
            <w:r w:rsidRPr="002F0F0D">
              <w:rPr>
                <w:rFonts w:ascii="ＭＳ 明朝" w:hAnsi="ＭＳ 明朝" w:hint="eastAsia"/>
                <w:szCs w:val="21"/>
              </w:rPr>
              <w:lastRenderedPageBreak/>
              <w:t>ウ　聞いたり読んだりしたこと、学んだことや経験したことに基づき、情報や考えなどについて、話し合うなどして結論をまとめる。</w:t>
            </w: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46196F" w:rsidRPr="00F97633" w:rsidRDefault="0046196F" w:rsidP="00345458">
            <w:pPr>
              <w:rPr>
                <w:rFonts w:ascii="ＭＳ 明朝" w:hAnsi="ＭＳ 明朝"/>
                <w:szCs w:val="21"/>
              </w:rPr>
            </w:pPr>
          </w:p>
          <w:p w:rsidR="0046196F" w:rsidRDefault="0046196F" w:rsidP="00345458">
            <w:pPr>
              <w:rPr>
                <w:rFonts w:ascii="ＭＳ 明朝" w:hAnsi="ＭＳ 明朝"/>
                <w:szCs w:val="21"/>
              </w:rPr>
            </w:pPr>
          </w:p>
          <w:p w:rsidR="0046196F" w:rsidRDefault="0046196F" w:rsidP="00345458">
            <w:pPr>
              <w:rPr>
                <w:rFonts w:ascii="ＭＳ 明朝" w:hAnsi="ＭＳ 明朝"/>
                <w:szCs w:val="21"/>
              </w:rPr>
            </w:pPr>
          </w:p>
          <w:p w:rsidR="002F0F0D" w:rsidRPr="002F0F0D" w:rsidRDefault="002F0F0D" w:rsidP="002F0F0D">
            <w:pPr>
              <w:ind w:left="196" w:hangingChars="100" w:hanging="196"/>
            </w:pPr>
            <w:r w:rsidRPr="002F0F0D">
              <w:rPr>
                <w:rFonts w:hint="eastAsia"/>
              </w:rPr>
              <w:t>エ　聞いたり読んだりしたこと、学んだことや経験したことに基づき、情報や考えなどについて、まとまりのある文章を書く。</w:t>
            </w:r>
          </w:p>
          <w:p w:rsidR="000847A5" w:rsidRPr="002F0F0D"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0847A5" w:rsidRDefault="000847A5" w:rsidP="00345458">
            <w:pPr>
              <w:rPr>
                <w:rFonts w:ascii="ＭＳ 明朝" w:hAnsi="ＭＳ 明朝"/>
                <w:szCs w:val="21"/>
              </w:rPr>
            </w:pPr>
          </w:p>
          <w:p w:rsidR="007E56A1" w:rsidRDefault="007E56A1" w:rsidP="00345458">
            <w:pPr>
              <w:rPr>
                <w:rFonts w:ascii="ＭＳ 明朝" w:hAnsi="ＭＳ 明朝" w:hint="eastAsia"/>
                <w:szCs w:val="21"/>
              </w:rPr>
            </w:pPr>
            <w:bookmarkStart w:id="0" w:name="_GoBack"/>
            <w:bookmarkEnd w:id="0"/>
          </w:p>
          <w:p w:rsidR="000847A5" w:rsidRDefault="000847A5" w:rsidP="00345458">
            <w:pPr>
              <w:rPr>
                <w:rFonts w:ascii="ＭＳ 明朝" w:hAnsi="ＭＳ 明朝"/>
                <w:szCs w:val="21"/>
              </w:rPr>
            </w:pPr>
          </w:p>
          <w:p w:rsidR="000847A5" w:rsidRPr="00AE7DA7" w:rsidRDefault="000847A5" w:rsidP="000847A5">
            <w:pPr>
              <w:ind w:leftChars="200" w:left="393" w:firstLineChars="100" w:firstLine="196"/>
              <w:rPr>
                <w:rFonts w:ascii="ＭＳ 明朝" w:hAnsi="ＭＳ 明朝"/>
                <w:szCs w:val="21"/>
              </w:rPr>
            </w:pPr>
          </w:p>
        </w:tc>
        <w:tc>
          <w:tcPr>
            <w:tcW w:w="4541" w:type="dxa"/>
          </w:tcPr>
          <w:p w:rsidR="00F97633" w:rsidRPr="0007349F"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lastRenderedPageBreak/>
              <w:t>・聞いたことに対して、繰り返しや説明を求める</w:t>
            </w:r>
          </w:p>
          <w:p w:rsidR="00F97633" w:rsidRPr="0007349F"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などして、相手の話に関心をもって聞き続ける</w:t>
            </w:r>
          </w:p>
          <w:p w:rsidR="00F97633" w:rsidRDefault="00F97633" w:rsidP="00F97633">
            <w:pPr>
              <w:ind w:left="196" w:hangingChars="100" w:hanging="196"/>
              <w:rPr>
                <w:rFonts w:ascii="ＭＳ 明朝" w:hAnsi="ＭＳ 明朝" w:cs="ＭＳ明朝"/>
                <w:kern w:val="0"/>
                <w:szCs w:val="21"/>
              </w:rPr>
            </w:pPr>
            <w:r w:rsidRPr="0007349F">
              <w:rPr>
                <w:rFonts w:ascii="ＭＳ 明朝" w:hAnsi="ＭＳ 明朝" w:cs="ＭＳ明朝" w:hint="eastAsia"/>
                <w:kern w:val="0"/>
                <w:szCs w:val="21"/>
              </w:rPr>
              <w:t>ことができる。</w:t>
            </w:r>
          </w:p>
          <w:p w:rsidR="00F97633" w:rsidRPr="0007349F" w:rsidRDefault="00F97633" w:rsidP="00F97633">
            <w:pPr>
              <w:ind w:left="196" w:hangingChars="100" w:hanging="196"/>
              <w:rPr>
                <w:rFonts w:ascii="ＭＳ 明朝" w:hAnsi="ＭＳ 明朝" w:cs="ＭＳ明朝"/>
                <w:kern w:val="0"/>
                <w:szCs w:val="21"/>
              </w:rPr>
            </w:pPr>
          </w:p>
          <w:p w:rsidR="00F97633" w:rsidRPr="0007349F"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・聞き取れない単語や未知の語句があっても、</w:t>
            </w:r>
          </w:p>
          <w:p w:rsidR="00F97633" w:rsidRPr="0007349F"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内容を推測し、あきらめずに聞き続けることができる。</w:t>
            </w:r>
          </w:p>
          <w:p w:rsidR="00F97633" w:rsidRDefault="00F97633" w:rsidP="00F97633">
            <w:pPr>
              <w:autoSpaceDE w:val="0"/>
              <w:autoSpaceDN w:val="0"/>
              <w:adjustRightInd w:val="0"/>
              <w:jc w:val="left"/>
              <w:rPr>
                <w:rFonts w:ascii="ＭＳ 明朝" w:hAnsi="ＭＳ 明朝" w:cs="ＭＳ明朝"/>
                <w:kern w:val="0"/>
                <w:szCs w:val="21"/>
              </w:rPr>
            </w:pPr>
          </w:p>
          <w:p w:rsidR="00F97633" w:rsidRPr="0007349F"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・ゆっくりと話された英語の内容を聞き、概要や要点を捉えることができる。</w:t>
            </w:r>
          </w:p>
          <w:p w:rsidR="00F97633" w:rsidRDefault="00F97633" w:rsidP="00F97633">
            <w:pPr>
              <w:autoSpaceDE w:val="0"/>
              <w:autoSpaceDN w:val="0"/>
              <w:adjustRightInd w:val="0"/>
              <w:jc w:val="left"/>
              <w:rPr>
                <w:rFonts w:ascii="ＭＳ 明朝" w:hAnsi="ＭＳ 明朝" w:cs="ＭＳ明朝"/>
                <w:kern w:val="0"/>
                <w:szCs w:val="21"/>
              </w:rPr>
            </w:pPr>
          </w:p>
          <w:p w:rsidR="00F97633" w:rsidRPr="0007349F"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・場面や状況、相手の表情などを踏まえて質問や指示などに適切に応じることができる。</w:t>
            </w:r>
          </w:p>
          <w:p w:rsidR="00F97633" w:rsidRDefault="00F97633" w:rsidP="00F97633">
            <w:pPr>
              <w:ind w:left="196" w:hangingChars="100" w:hanging="196"/>
              <w:rPr>
                <w:rFonts w:ascii="ＭＳ 明朝" w:hAnsi="ＭＳ 明朝"/>
                <w:szCs w:val="21"/>
              </w:rPr>
            </w:pPr>
          </w:p>
          <w:p w:rsidR="00F97633" w:rsidRPr="00852DD0" w:rsidRDefault="00F97633" w:rsidP="00F97633">
            <w:pPr>
              <w:ind w:left="196" w:hangingChars="100" w:hanging="196"/>
            </w:pPr>
            <w:r w:rsidRPr="00852DD0">
              <w:rPr>
                <w:rFonts w:hint="eastAsia"/>
              </w:rPr>
              <w:t>・単語の発音の特徴や、基本的な文章のリズムやイントネーション（文全体に及ぶ声の高さの変動）を捉えて聞くことができる。</w:t>
            </w:r>
          </w:p>
          <w:p w:rsidR="00F97633" w:rsidRDefault="00F97633" w:rsidP="00F97633">
            <w:pPr>
              <w:ind w:left="196" w:hangingChars="100" w:hanging="196"/>
              <w:rPr>
                <w:rFonts w:ascii="ＭＳ 明朝" w:hAnsi="ＭＳ 明朝"/>
                <w:szCs w:val="21"/>
              </w:rPr>
            </w:pPr>
          </w:p>
          <w:p w:rsidR="00F97633" w:rsidRDefault="00F97633" w:rsidP="00F97633">
            <w:pPr>
              <w:ind w:left="196" w:hangingChars="100" w:hanging="196"/>
              <w:rPr>
                <w:rFonts w:ascii="ＭＳ 明朝" w:hAnsi="ＭＳ 明朝"/>
                <w:szCs w:val="21"/>
              </w:rPr>
            </w:pPr>
          </w:p>
          <w:p w:rsidR="00F97633" w:rsidRDefault="00F97633" w:rsidP="00F97633">
            <w:pPr>
              <w:ind w:left="196" w:hangingChars="100" w:hanging="196"/>
              <w:rPr>
                <w:rFonts w:ascii="ＭＳ 明朝" w:hAnsi="ＭＳ 明朝"/>
                <w:szCs w:val="21"/>
              </w:rPr>
            </w:pPr>
          </w:p>
          <w:p w:rsidR="00F97633" w:rsidRDefault="00F97633" w:rsidP="00F97633">
            <w:pPr>
              <w:ind w:left="196" w:hangingChars="100" w:hanging="196"/>
              <w:rPr>
                <w:rFonts w:ascii="ＭＳ 明朝" w:hAnsi="ＭＳ 明朝"/>
                <w:szCs w:val="21"/>
              </w:rPr>
            </w:pPr>
          </w:p>
          <w:p w:rsidR="00F97633" w:rsidRDefault="00F97633" w:rsidP="00F97633">
            <w:pPr>
              <w:ind w:left="196" w:hangingChars="100" w:hanging="196"/>
              <w:rPr>
                <w:rFonts w:ascii="ＭＳ 明朝" w:hAnsi="ＭＳ 明朝"/>
                <w:szCs w:val="21"/>
              </w:rPr>
            </w:pPr>
          </w:p>
          <w:p w:rsidR="00F97633" w:rsidRDefault="00F97633" w:rsidP="00F97633">
            <w:pPr>
              <w:ind w:left="196" w:hangingChars="100" w:hanging="196"/>
              <w:rPr>
                <w:rFonts w:ascii="ＭＳ 明朝" w:hAnsi="ＭＳ 明朝"/>
                <w:szCs w:val="21"/>
              </w:rPr>
            </w:pPr>
          </w:p>
          <w:p w:rsidR="00F97633" w:rsidRDefault="00F97633" w:rsidP="00F97633">
            <w:pPr>
              <w:ind w:left="196" w:hangingChars="100" w:hanging="196"/>
              <w:rPr>
                <w:rFonts w:ascii="ＭＳ 明朝" w:hAnsi="ＭＳ 明朝"/>
                <w:szCs w:val="21"/>
              </w:rPr>
            </w:pPr>
          </w:p>
          <w:p w:rsidR="00F97633" w:rsidRDefault="00F97633" w:rsidP="00F97633">
            <w:pPr>
              <w:ind w:left="196" w:hangingChars="100" w:hanging="196"/>
              <w:rPr>
                <w:rFonts w:ascii="ＭＳ 明朝" w:hAnsi="ＭＳ 明朝"/>
                <w:szCs w:val="21"/>
              </w:rPr>
            </w:pPr>
          </w:p>
          <w:p w:rsidR="00F97633"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・教科書の文章を読んで、文中に未知の語句があっても、前後関係や文脈を考えて、推測しながら読み続けることができる。</w:t>
            </w:r>
          </w:p>
          <w:p w:rsidR="00F97633" w:rsidRPr="0007349F" w:rsidRDefault="00F97633" w:rsidP="00F97633">
            <w:pPr>
              <w:autoSpaceDE w:val="0"/>
              <w:autoSpaceDN w:val="0"/>
              <w:adjustRightInd w:val="0"/>
              <w:jc w:val="left"/>
              <w:rPr>
                <w:rFonts w:ascii="ＭＳ 明朝" w:hAnsi="ＭＳ 明朝" w:cs="ＭＳ明朝"/>
                <w:kern w:val="0"/>
                <w:szCs w:val="21"/>
              </w:rPr>
            </w:pPr>
          </w:p>
          <w:p w:rsidR="00F97633"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・教科書などの1文を、その意味を理解し、英語の音声的な特徴などに注意しながら暗唱することがきる。</w:t>
            </w:r>
          </w:p>
          <w:p w:rsidR="00F97633" w:rsidRDefault="00F97633" w:rsidP="00F97633">
            <w:pPr>
              <w:autoSpaceDE w:val="0"/>
              <w:autoSpaceDN w:val="0"/>
              <w:adjustRightInd w:val="0"/>
              <w:jc w:val="left"/>
              <w:rPr>
                <w:rFonts w:ascii="ＭＳ 明朝" w:hAnsi="ＭＳ 明朝" w:cs="ＭＳ明朝"/>
                <w:kern w:val="0"/>
                <w:szCs w:val="21"/>
              </w:rPr>
            </w:pPr>
          </w:p>
          <w:p w:rsidR="00F97633" w:rsidRPr="0007349F" w:rsidRDefault="00F97633" w:rsidP="00F97633">
            <w:pPr>
              <w:autoSpaceDE w:val="0"/>
              <w:autoSpaceDN w:val="0"/>
              <w:adjustRightInd w:val="0"/>
              <w:jc w:val="left"/>
              <w:rPr>
                <w:rFonts w:ascii="ＭＳ 明朝" w:hAnsi="ＭＳ 明朝" w:cs="ＭＳ明朝"/>
                <w:kern w:val="0"/>
                <w:szCs w:val="21"/>
              </w:rPr>
            </w:pPr>
          </w:p>
          <w:p w:rsidR="00F97633" w:rsidRPr="0007349F"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・教科書の文章について、文と文のつながりや段</w:t>
            </w:r>
          </w:p>
          <w:p w:rsidR="00F97633" w:rsidRPr="0007349F"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落の大まかな流れを考えて読み進めることがで</w:t>
            </w:r>
          </w:p>
          <w:p w:rsidR="00F97633"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きる。</w:t>
            </w:r>
          </w:p>
          <w:p w:rsidR="00F97633" w:rsidRPr="0007349F" w:rsidRDefault="00F97633" w:rsidP="00F97633">
            <w:pPr>
              <w:autoSpaceDE w:val="0"/>
              <w:autoSpaceDN w:val="0"/>
              <w:adjustRightInd w:val="0"/>
              <w:jc w:val="left"/>
              <w:rPr>
                <w:rFonts w:ascii="ＭＳ 明朝" w:hAnsi="ＭＳ 明朝" w:cs="ＭＳ明朝"/>
                <w:kern w:val="0"/>
                <w:szCs w:val="21"/>
              </w:rPr>
            </w:pPr>
          </w:p>
          <w:p w:rsidR="00F97633" w:rsidRPr="0007349F"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・身近な情報（例えば交通機関の時刻表やレスト</w:t>
            </w:r>
          </w:p>
          <w:p w:rsidR="00F97633" w:rsidRPr="0007349F"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ランのメニューなど）が示されている図表を読</w:t>
            </w:r>
          </w:p>
          <w:p w:rsidR="00F97633" w:rsidRPr="0007349F"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み取ることができる。</w:t>
            </w:r>
          </w:p>
          <w:p w:rsidR="00F97633"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lastRenderedPageBreak/>
              <w:t>・教科書で扱った身近な話題や自分の興味、関心があることについて、既習の語句や表現を活用して短く伝えることができる。</w:t>
            </w:r>
          </w:p>
          <w:p w:rsidR="00F97633" w:rsidRPr="0007349F" w:rsidRDefault="00F97633" w:rsidP="00F97633">
            <w:pPr>
              <w:autoSpaceDE w:val="0"/>
              <w:autoSpaceDN w:val="0"/>
              <w:adjustRightInd w:val="0"/>
              <w:jc w:val="left"/>
              <w:rPr>
                <w:rFonts w:ascii="ＭＳ 明朝" w:hAnsi="ＭＳ 明朝" w:cs="ＭＳ明朝"/>
                <w:kern w:val="0"/>
                <w:szCs w:val="21"/>
              </w:rPr>
            </w:pPr>
          </w:p>
          <w:p w:rsidR="00F97633"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・教科書の文章などの単語の発音及び文章のリズムやイントネーションに注意して、適切な音量で、聞き手に伝わるように音読することができる。</w:t>
            </w:r>
          </w:p>
          <w:p w:rsidR="00F97633" w:rsidRPr="0007349F" w:rsidRDefault="00F97633" w:rsidP="00F97633">
            <w:pPr>
              <w:autoSpaceDE w:val="0"/>
              <w:autoSpaceDN w:val="0"/>
              <w:adjustRightInd w:val="0"/>
              <w:jc w:val="left"/>
              <w:rPr>
                <w:rFonts w:ascii="ＭＳ 明朝" w:hAnsi="ＭＳ 明朝" w:cs="ＭＳ明朝"/>
                <w:kern w:val="0"/>
                <w:szCs w:val="21"/>
              </w:rPr>
            </w:pPr>
          </w:p>
          <w:p w:rsidR="00F97633" w:rsidRPr="0007349F"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・教科書などの</w:t>
            </w:r>
            <w:r w:rsidRPr="0007349F">
              <w:rPr>
                <w:rFonts w:ascii="ＭＳ 明朝" w:hAnsi="ＭＳ 明朝" w:cs="ＭＳ明朝"/>
                <w:kern w:val="0"/>
                <w:szCs w:val="21"/>
              </w:rPr>
              <w:t xml:space="preserve">50 </w:t>
            </w:r>
            <w:r w:rsidRPr="0007349F">
              <w:rPr>
                <w:rFonts w:ascii="ＭＳ 明朝" w:hAnsi="ＭＳ 明朝" w:cs="ＭＳ明朝" w:hint="eastAsia"/>
                <w:kern w:val="0"/>
                <w:szCs w:val="21"/>
              </w:rPr>
              <w:t>語程度の文章を、その意味を理解した上で、英語の音声的な特徴などに注意しながら暗唱することがきる。</w:t>
            </w:r>
          </w:p>
          <w:p w:rsidR="00F97633" w:rsidRDefault="00F97633" w:rsidP="00F97633">
            <w:pPr>
              <w:rPr>
                <w:rFonts w:ascii="ＭＳ 明朝" w:hAnsi="ＭＳ 明朝"/>
                <w:szCs w:val="21"/>
              </w:rPr>
            </w:pPr>
          </w:p>
          <w:p w:rsidR="00F97633" w:rsidRDefault="00F97633" w:rsidP="00F97633">
            <w:pPr>
              <w:rPr>
                <w:rFonts w:ascii="ＭＳ 明朝" w:hAnsi="ＭＳ 明朝"/>
                <w:szCs w:val="21"/>
              </w:rPr>
            </w:pPr>
            <w:r w:rsidRPr="00852DD0">
              <w:rPr>
                <w:rFonts w:hint="eastAsia"/>
              </w:rPr>
              <w:t>・うまく言えないことがあっても、簡単な表現やジェスチャーなどを用いて、情報や考えを相手に伝えることができる。</w:t>
            </w:r>
          </w:p>
          <w:p w:rsidR="00F97633" w:rsidRDefault="00F97633" w:rsidP="00F97633">
            <w:pPr>
              <w:rPr>
                <w:rFonts w:ascii="ＭＳ 明朝" w:hAnsi="ＭＳ 明朝"/>
                <w:szCs w:val="21"/>
              </w:rPr>
            </w:pPr>
          </w:p>
          <w:p w:rsidR="00F97633" w:rsidRDefault="00F97633" w:rsidP="00F97633">
            <w:pPr>
              <w:rPr>
                <w:rFonts w:ascii="ＭＳ 明朝" w:hAnsi="ＭＳ 明朝"/>
                <w:szCs w:val="21"/>
              </w:rPr>
            </w:pPr>
          </w:p>
          <w:p w:rsidR="00F97633" w:rsidRDefault="00F97633" w:rsidP="00F97633">
            <w:pPr>
              <w:rPr>
                <w:rFonts w:ascii="ＭＳ 明朝" w:hAnsi="ＭＳ 明朝"/>
                <w:szCs w:val="21"/>
              </w:rPr>
            </w:pPr>
          </w:p>
          <w:p w:rsidR="00F97633" w:rsidRDefault="00E22542" w:rsidP="00F97633">
            <w:pPr>
              <w:autoSpaceDE w:val="0"/>
              <w:autoSpaceDN w:val="0"/>
              <w:adjustRightInd w:val="0"/>
              <w:jc w:val="left"/>
              <w:rPr>
                <w:rFonts w:ascii="ＭＳ 明朝" w:hAnsi="ＭＳ 明朝"/>
                <w:szCs w:val="21"/>
              </w:rPr>
            </w:pPr>
            <w:r>
              <w:rPr>
                <w:rFonts w:ascii="ＭＳ 明朝" w:hAnsi="ＭＳ 明朝" w:hint="eastAsia"/>
                <w:szCs w:val="21"/>
              </w:rPr>
              <w:t>・板書の書写など、つづりを間違えないで書く</w:t>
            </w:r>
            <w:r w:rsidR="00F97633">
              <w:rPr>
                <w:rFonts w:ascii="ＭＳ 明朝" w:hAnsi="ＭＳ 明朝" w:hint="eastAsia"/>
                <w:szCs w:val="21"/>
              </w:rPr>
              <w:t>ことができる。</w:t>
            </w:r>
          </w:p>
          <w:p w:rsidR="00F97633" w:rsidRDefault="00F97633" w:rsidP="00F97633">
            <w:pPr>
              <w:autoSpaceDE w:val="0"/>
              <w:autoSpaceDN w:val="0"/>
              <w:adjustRightInd w:val="0"/>
              <w:jc w:val="left"/>
              <w:rPr>
                <w:rFonts w:ascii="ＭＳ 明朝" w:hAnsi="ＭＳ 明朝"/>
                <w:szCs w:val="21"/>
              </w:rPr>
            </w:pPr>
          </w:p>
          <w:p w:rsidR="00F97633" w:rsidRDefault="00F97633" w:rsidP="00F97633">
            <w:pPr>
              <w:autoSpaceDE w:val="0"/>
              <w:autoSpaceDN w:val="0"/>
              <w:adjustRightInd w:val="0"/>
              <w:jc w:val="left"/>
              <w:rPr>
                <w:rFonts w:ascii="ＭＳ 明朝" w:hAnsi="ＭＳ 明朝" w:cs="ＭＳ明朝"/>
                <w:kern w:val="0"/>
                <w:sz w:val="22"/>
                <w:szCs w:val="22"/>
              </w:rPr>
            </w:pPr>
            <w:r w:rsidRPr="0007349F">
              <w:rPr>
                <w:rFonts w:ascii="ＭＳ 明朝" w:hAnsi="ＭＳ 明朝" w:cs="ＭＳ明朝" w:hint="eastAsia"/>
                <w:kern w:val="0"/>
                <w:sz w:val="22"/>
                <w:szCs w:val="22"/>
              </w:rPr>
              <w:t>・既習の語句や表現、文法事項を活用して、学んだことや経験したことに基づき、幅広い話題について</w:t>
            </w:r>
            <w:r w:rsidRPr="0007349F">
              <w:rPr>
                <w:rFonts w:ascii="ＭＳ 明朝" w:hAnsi="ＭＳ 明朝" w:cs="ＭＳ明朝"/>
                <w:kern w:val="0"/>
                <w:sz w:val="22"/>
                <w:szCs w:val="22"/>
              </w:rPr>
              <w:t>2</w:t>
            </w:r>
            <w:r>
              <w:rPr>
                <w:rFonts w:ascii="ＭＳ 明朝" w:hAnsi="ＭＳ 明朝" w:cs="ＭＳ明朝" w:hint="eastAsia"/>
                <w:kern w:val="0"/>
                <w:sz w:val="22"/>
                <w:szCs w:val="22"/>
              </w:rPr>
              <w:t>,3</w:t>
            </w:r>
            <w:r w:rsidRPr="0007349F">
              <w:rPr>
                <w:rFonts w:ascii="ＭＳ 明朝" w:hAnsi="ＭＳ 明朝" w:cs="ＭＳ明朝" w:hint="eastAsia"/>
                <w:kern w:val="0"/>
                <w:sz w:val="22"/>
                <w:szCs w:val="22"/>
              </w:rPr>
              <w:t>文程度の文章を書くことができる。</w:t>
            </w:r>
          </w:p>
          <w:p w:rsidR="00F97633" w:rsidRPr="0007349F" w:rsidRDefault="00F97633" w:rsidP="00F97633">
            <w:pPr>
              <w:autoSpaceDE w:val="0"/>
              <w:autoSpaceDN w:val="0"/>
              <w:adjustRightInd w:val="0"/>
              <w:jc w:val="left"/>
              <w:rPr>
                <w:rFonts w:ascii="ＭＳ 明朝" w:hAnsi="ＭＳ 明朝" w:cs="ＭＳ明朝"/>
                <w:kern w:val="0"/>
                <w:sz w:val="22"/>
                <w:szCs w:val="22"/>
              </w:rPr>
            </w:pPr>
          </w:p>
          <w:p w:rsidR="00F97633" w:rsidRPr="0007349F"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・文章を書く前に、自分の考えを整理して、箇条書きで書くことができる。</w:t>
            </w:r>
          </w:p>
          <w:p w:rsidR="00F97633"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・自分で書いた文章を読み直し、読み手の立場に立って分かりやすい文章を書くことができる。</w:t>
            </w:r>
          </w:p>
          <w:p w:rsidR="00F97633" w:rsidRPr="0007349F" w:rsidRDefault="00F97633" w:rsidP="00F97633">
            <w:pPr>
              <w:autoSpaceDE w:val="0"/>
              <w:autoSpaceDN w:val="0"/>
              <w:adjustRightInd w:val="0"/>
              <w:jc w:val="left"/>
              <w:rPr>
                <w:rFonts w:ascii="ＭＳ 明朝" w:hAnsi="ＭＳ 明朝" w:cs="ＭＳ明朝"/>
                <w:kern w:val="0"/>
                <w:szCs w:val="21"/>
              </w:rPr>
            </w:pPr>
          </w:p>
          <w:p w:rsidR="00F97633"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・必要に応じて教科書、ワークシート、英和辞書や和英辞書などを活用して書く</w:t>
            </w:r>
            <w:r w:rsidR="00E22542">
              <w:rPr>
                <w:rFonts w:ascii="ＭＳ 明朝" w:hAnsi="ＭＳ 明朝" w:cs="ＭＳ明朝" w:hint="eastAsia"/>
                <w:kern w:val="0"/>
                <w:szCs w:val="21"/>
              </w:rPr>
              <w:t>ことができる</w:t>
            </w:r>
            <w:r w:rsidRPr="0007349F">
              <w:rPr>
                <w:rFonts w:ascii="ＭＳ 明朝" w:hAnsi="ＭＳ 明朝" w:cs="ＭＳ明朝" w:hint="eastAsia"/>
                <w:kern w:val="0"/>
                <w:szCs w:val="21"/>
              </w:rPr>
              <w:t>。</w:t>
            </w:r>
          </w:p>
          <w:p w:rsidR="00F97633" w:rsidRPr="0007349F" w:rsidRDefault="00F97633" w:rsidP="00F97633">
            <w:pPr>
              <w:autoSpaceDE w:val="0"/>
              <w:autoSpaceDN w:val="0"/>
              <w:adjustRightInd w:val="0"/>
              <w:jc w:val="left"/>
              <w:rPr>
                <w:rFonts w:ascii="ＭＳ 明朝" w:hAnsi="ＭＳ 明朝" w:cs="ＭＳ明朝"/>
                <w:kern w:val="0"/>
                <w:szCs w:val="21"/>
              </w:rPr>
            </w:pPr>
          </w:p>
          <w:p w:rsidR="00F97633" w:rsidRPr="0007349F" w:rsidRDefault="00F97633" w:rsidP="00F97633">
            <w:pPr>
              <w:autoSpaceDE w:val="0"/>
              <w:autoSpaceDN w:val="0"/>
              <w:adjustRightInd w:val="0"/>
              <w:jc w:val="left"/>
              <w:rPr>
                <w:rFonts w:ascii="ＭＳ 明朝" w:hAnsi="ＭＳ 明朝" w:cs="ＭＳ明朝"/>
                <w:kern w:val="0"/>
                <w:szCs w:val="21"/>
              </w:rPr>
            </w:pPr>
            <w:r w:rsidRPr="0007349F">
              <w:rPr>
                <w:rFonts w:ascii="ＭＳ 明朝" w:hAnsi="ＭＳ 明朝" w:cs="ＭＳ明朝" w:hint="eastAsia"/>
                <w:kern w:val="0"/>
                <w:szCs w:val="21"/>
              </w:rPr>
              <w:t>・ペアやグループでそれぞれが書いた文章を読み</w:t>
            </w:r>
          </w:p>
          <w:p w:rsidR="00F97633" w:rsidRPr="0007349F" w:rsidRDefault="00F97633" w:rsidP="00F9763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合い、感想をも</w:t>
            </w:r>
            <w:r w:rsidRPr="0007349F">
              <w:rPr>
                <w:rFonts w:ascii="ＭＳ 明朝" w:hAnsi="ＭＳ 明朝" w:cs="ＭＳ明朝" w:hint="eastAsia"/>
                <w:kern w:val="0"/>
                <w:szCs w:val="21"/>
              </w:rPr>
              <w:t>つことができる。</w:t>
            </w:r>
          </w:p>
          <w:p w:rsidR="000847A5" w:rsidRPr="00F97633" w:rsidRDefault="000847A5" w:rsidP="000847A5">
            <w:pPr>
              <w:ind w:left="196" w:hangingChars="100" w:hanging="196"/>
              <w:rPr>
                <w:rFonts w:ascii="ＭＳ 明朝" w:hAnsi="ＭＳ 明朝"/>
                <w:szCs w:val="21"/>
              </w:rPr>
            </w:pPr>
          </w:p>
        </w:tc>
      </w:tr>
    </w:tbl>
    <w:p w:rsidR="00CA5785" w:rsidRPr="008B79D0" w:rsidRDefault="00CA5785" w:rsidP="00E05DCD"/>
    <w:sectPr w:rsidR="00CA5785" w:rsidRPr="008B79D0" w:rsidSect="0046196F">
      <w:headerReference w:type="default" r:id="rId7"/>
      <w:footerReference w:type="default" r:id="rId8"/>
      <w:type w:val="continuous"/>
      <w:pgSz w:w="11907" w:h="16840" w:code="9"/>
      <w:pgMar w:top="1418" w:right="851" w:bottom="1418" w:left="851" w:header="851" w:footer="992" w:gutter="0"/>
      <w:cols w:space="425"/>
      <w:docGrid w:type="linesAndChars" w:linePitch="333" w:charSpace="-28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1DF" w:rsidRDefault="00F241DF">
      <w:r>
        <w:separator/>
      </w:r>
    </w:p>
  </w:endnote>
  <w:endnote w:type="continuationSeparator" w:id="0">
    <w:p w:rsidR="00F241DF" w:rsidRDefault="00F2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C70" w:rsidRDefault="005F6C70" w:rsidP="005F6C70">
    <w:pPr>
      <w:pStyle w:val="a4"/>
      <w:ind w:firstLineChars="2200" w:firstLine="462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1DF" w:rsidRDefault="00F241DF">
      <w:r>
        <w:separator/>
      </w:r>
    </w:p>
  </w:footnote>
  <w:footnote w:type="continuationSeparator" w:id="0">
    <w:p w:rsidR="00F241DF" w:rsidRDefault="00F24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04" w:rsidRPr="00515449" w:rsidRDefault="00A67404" w:rsidP="00E05DCD">
    <w:pPr>
      <w:rPr>
        <w:rFonts w:ascii="ＭＳ ゴシック" w:eastAsia="ＭＳ ゴシック" w:hAnsi="ＭＳ ゴシック"/>
        <w:sz w:val="24"/>
      </w:rPr>
    </w:pPr>
    <w:r w:rsidRPr="008B79D0">
      <w:rPr>
        <w:rFonts w:ascii="ＭＳ ゴシック" w:eastAsia="ＭＳ ゴシック" w:hAnsi="ＭＳ ゴシック" w:hint="eastAsia"/>
        <w:sz w:val="24"/>
      </w:rPr>
      <w:t>教科：</w:t>
    </w:r>
    <w:r w:rsidR="009269AA">
      <w:rPr>
        <w:rFonts w:ascii="ＭＳ ゴシック" w:eastAsia="ＭＳ ゴシック" w:hAnsi="ＭＳ ゴシック" w:hint="eastAsia"/>
        <w:sz w:val="24"/>
        <w:u w:val="single"/>
      </w:rPr>
      <w:t>外 国 語</w:t>
    </w:r>
    <w:r w:rsidRPr="008B79D0">
      <w:rPr>
        <w:rFonts w:ascii="ＭＳ ゴシック" w:eastAsia="ＭＳ ゴシック" w:hAnsi="ＭＳ ゴシック" w:hint="eastAsia"/>
        <w:sz w:val="24"/>
      </w:rPr>
      <w:t xml:space="preserve">　科目：</w:t>
    </w:r>
    <w:r w:rsidR="009269AA">
      <w:rPr>
        <w:rFonts w:ascii="ＭＳ ゴシック" w:eastAsia="ＭＳ ゴシック" w:hAnsi="ＭＳ ゴシック" w:hint="eastAsia"/>
        <w:sz w:val="24"/>
        <w:u w:val="single"/>
      </w:rPr>
      <w:t>ｺﾐｭﾆｹｰｼｮﾝ英語</w:t>
    </w:r>
    <w:r w:rsidR="00442BFE">
      <w:rPr>
        <w:rFonts w:ascii="ＭＳ ゴシック" w:eastAsia="ＭＳ ゴシック" w:hAnsi="ＭＳ ゴシック" w:hint="eastAsia"/>
        <w:sz w:val="24"/>
        <w:u w:val="single"/>
      </w:rPr>
      <w:t>Ⅱ</w:t>
    </w:r>
    <w:r w:rsidR="00515449" w:rsidRPr="00515449">
      <w:rPr>
        <w:rFonts w:ascii="ＭＳ ゴシック" w:eastAsia="ＭＳ ゴシック" w:hAnsi="ＭＳ ゴシック" w:hint="eastAsia"/>
        <w:sz w:val="24"/>
      </w:rPr>
      <w:t xml:space="preserve">　</w:t>
    </w:r>
    <w:r w:rsidR="00515449">
      <w:rPr>
        <w:rFonts w:ascii="ＭＳ ゴシック" w:eastAsia="ＭＳ ゴシック" w:hAnsi="ＭＳ ゴシック" w:hint="eastAsia"/>
        <w:sz w:val="24"/>
      </w:rPr>
      <w:t xml:space="preserve">　　　</w:t>
    </w:r>
    <w:r w:rsidR="002A6CDF">
      <w:rPr>
        <w:rFonts w:ascii="ＭＳ ゴシック" w:eastAsia="ＭＳ ゴシック" w:hAnsi="ＭＳ ゴシック" w:hint="eastAsia"/>
        <w:sz w:val="24"/>
      </w:rPr>
      <w:t xml:space="preserve">　　　　　　　　　　　　　　　　別紙２</w:t>
    </w:r>
    <w:r w:rsidR="00515449">
      <w:rPr>
        <w:rFonts w:ascii="ＭＳ ゴシック" w:eastAsia="ＭＳ ゴシック" w:hAnsi="ＭＳ ゴシック" w:hint="eastAsia"/>
        <w:sz w:val="24"/>
      </w:rPr>
      <w:t xml:space="preserve">　　　　　　　　　　　　　　　　　　　　　　　　　　　　　　　　　　　　　　　　　　　　　　　　　　　　　　　　　　　　　　　　　　　</w:t>
    </w:r>
  </w:p>
  <w:p w:rsidR="00A67404" w:rsidRDefault="00A674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97CA8"/>
    <w:multiLevelType w:val="hybridMultilevel"/>
    <w:tmpl w:val="89C6D7EA"/>
    <w:lvl w:ilvl="0" w:tplc="B5AC24A8">
      <w:start w:val="1"/>
      <w:numFmt w:val="aiueo"/>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BB6495"/>
    <w:multiLevelType w:val="hybridMultilevel"/>
    <w:tmpl w:val="13481BA0"/>
    <w:lvl w:ilvl="0" w:tplc="A222A178">
      <w:start w:val="1"/>
      <w:numFmt w:val="aiueo"/>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CB2DDC"/>
    <w:multiLevelType w:val="hybridMultilevel"/>
    <w:tmpl w:val="22E63BA6"/>
    <w:lvl w:ilvl="0" w:tplc="BD502E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F1C2E76"/>
    <w:multiLevelType w:val="hybridMultilevel"/>
    <w:tmpl w:val="3A262E36"/>
    <w:lvl w:ilvl="0" w:tplc="5C629024">
      <w:start w:val="1"/>
      <w:numFmt w:val="aiueo"/>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823E87"/>
    <w:multiLevelType w:val="hybridMultilevel"/>
    <w:tmpl w:val="0A4AF864"/>
    <w:lvl w:ilvl="0" w:tplc="456832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267084"/>
    <w:multiLevelType w:val="hybridMultilevel"/>
    <w:tmpl w:val="673A852E"/>
    <w:lvl w:ilvl="0" w:tplc="138EAA80">
      <w:start w:val="1"/>
      <w:numFmt w:val="aiueo"/>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44582A"/>
    <w:multiLevelType w:val="hybridMultilevel"/>
    <w:tmpl w:val="B83EA0E4"/>
    <w:lvl w:ilvl="0" w:tplc="9E443550">
      <w:start w:val="1"/>
      <w:numFmt w:val="aiueo"/>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5F5E72"/>
    <w:multiLevelType w:val="hybridMultilevel"/>
    <w:tmpl w:val="6C628690"/>
    <w:lvl w:ilvl="0" w:tplc="37E6C0B4">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F51F7A"/>
    <w:multiLevelType w:val="hybridMultilevel"/>
    <w:tmpl w:val="E9002556"/>
    <w:lvl w:ilvl="0" w:tplc="CFC8B2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3"/>
  </w:num>
  <w:num w:numId="4">
    <w:abstractNumId w:val="1"/>
  </w:num>
  <w:num w:numId="5">
    <w:abstractNumId w:val="0"/>
  </w:num>
  <w:num w:numId="6">
    <w:abstractNumId w:val="6"/>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33"/>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EB"/>
    <w:rsid w:val="000067EF"/>
    <w:rsid w:val="00023C77"/>
    <w:rsid w:val="00030ABE"/>
    <w:rsid w:val="00031D86"/>
    <w:rsid w:val="0004002F"/>
    <w:rsid w:val="00040C8F"/>
    <w:rsid w:val="00050A72"/>
    <w:rsid w:val="00055742"/>
    <w:rsid w:val="000673C8"/>
    <w:rsid w:val="000847A5"/>
    <w:rsid w:val="00090C71"/>
    <w:rsid w:val="000946CA"/>
    <w:rsid w:val="000A4BCC"/>
    <w:rsid w:val="000A571B"/>
    <w:rsid w:val="000B1665"/>
    <w:rsid w:val="000C1FBA"/>
    <w:rsid w:val="000D323B"/>
    <w:rsid w:val="000D5181"/>
    <w:rsid w:val="001205EE"/>
    <w:rsid w:val="00120C9F"/>
    <w:rsid w:val="00122F3D"/>
    <w:rsid w:val="0019159E"/>
    <w:rsid w:val="001958FD"/>
    <w:rsid w:val="00197B3B"/>
    <w:rsid w:val="001A7B4A"/>
    <w:rsid w:val="001C3816"/>
    <w:rsid w:val="001C57D2"/>
    <w:rsid w:val="001D3B9F"/>
    <w:rsid w:val="001F2276"/>
    <w:rsid w:val="001F3FC1"/>
    <w:rsid w:val="00242D1E"/>
    <w:rsid w:val="00247333"/>
    <w:rsid w:val="00252828"/>
    <w:rsid w:val="00260FD5"/>
    <w:rsid w:val="002645E0"/>
    <w:rsid w:val="00291F5C"/>
    <w:rsid w:val="002A6CDF"/>
    <w:rsid w:val="002C2672"/>
    <w:rsid w:val="002D5623"/>
    <w:rsid w:val="002E6E25"/>
    <w:rsid w:val="002F0F0D"/>
    <w:rsid w:val="0030428E"/>
    <w:rsid w:val="00310846"/>
    <w:rsid w:val="00311ED1"/>
    <w:rsid w:val="00316298"/>
    <w:rsid w:val="0033315A"/>
    <w:rsid w:val="00345458"/>
    <w:rsid w:val="00367617"/>
    <w:rsid w:val="003825E1"/>
    <w:rsid w:val="0038512C"/>
    <w:rsid w:val="003A5B06"/>
    <w:rsid w:val="003C26D7"/>
    <w:rsid w:val="003E56AF"/>
    <w:rsid w:val="003F591C"/>
    <w:rsid w:val="003F7B2F"/>
    <w:rsid w:val="00410BFF"/>
    <w:rsid w:val="004300CD"/>
    <w:rsid w:val="00442BFE"/>
    <w:rsid w:val="0046196F"/>
    <w:rsid w:val="00461A3C"/>
    <w:rsid w:val="00483E18"/>
    <w:rsid w:val="00493E9C"/>
    <w:rsid w:val="004A0441"/>
    <w:rsid w:val="004E2ED6"/>
    <w:rsid w:val="004F2323"/>
    <w:rsid w:val="004F3FCA"/>
    <w:rsid w:val="00515449"/>
    <w:rsid w:val="00540258"/>
    <w:rsid w:val="00544BA7"/>
    <w:rsid w:val="005461CB"/>
    <w:rsid w:val="0055017F"/>
    <w:rsid w:val="005513E9"/>
    <w:rsid w:val="00553794"/>
    <w:rsid w:val="00554E15"/>
    <w:rsid w:val="00564C58"/>
    <w:rsid w:val="00566F72"/>
    <w:rsid w:val="0056713D"/>
    <w:rsid w:val="005A5AC9"/>
    <w:rsid w:val="005A6F9F"/>
    <w:rsid w:val="005B18DD"/>
    <w:rsid w:val="005B3836"/>
    <w:rsid w:val="005C4B55"/>
    <w:rsid w:val="005E1CD0"/>
    <w:rsid w:val="005F6C70"/>
    <w:rsid w:val="00606327"/>
    <w:rsid w:val="006374D8"/>
    <w:rsid w:val="00663B2D"/>
    <w:rsid w:val="00677127"/>
    <w:rsid w:val="00684EC5"/>
    <w:rsid w:val="006A10C0"/>
    <w:rsid w:val="006A7212"/>
    <w:rsid w:val="006B78F2"/>
    <w:rsid w:val="006C0314"/>
    <w:rsid w:val="00703CAF"/>
    <w:rsid w:val="00706B21"/>
    <w:rsid w:val="00707C0B"/>
    <w:rsid w:val="007139E6"/>
    <w:rsid w:val="007200EB"/>
    <w:rsid w:val="0072024F"/>
    <w:rsid w:val="00723D75"/>
    <w:rsid w:val="00725708"/>
    <w:rsid w:val="0074142E"/>
    <w:rsid w:val="0075465B"/>
    <w:rsid w:val="007636B0"/>
    <w:rsid w:val="007870BA"/>
    <w:rsid w:val="007A0E88"/>
    <w:rsid w:val="007B1C34"/>
    <w:rsid w:val="007B369B"/>
    <w:rsid w:val="007C3388"/>
    <w:rsid w:val="007D580D"/>
    <w:rsid w:val="007D74B8"/>
    <w:rsid w:val="007E56A1"/>
    <w:rsid w:val="00804458"/>
    <w:rsid w:val="00816BEB"/>
    <w:rsid w:val="00817229"/>
    <w:rsid w:val="00826DF3"/>
    <w:rsid w:val="00826F6B"/>
    <w:rsid w:val="00852A13"/>
    <w:rsid w:val="00874CB2"/>
    <w:rsid w:val="0087684B"/>
    <w:rsid w:val="00890313"/>
    <w:rsid w:val="00897C3A"/>
    <w:rsid w:val="008A453A"/>
    <w:rsid w:val="008A588B"/>
    <w:rsid w:val="008B4FA5"/>
    <w:rsid w:val="008B79D0"/>
    <w:rsid w:val="008F3F42"/>
    <w:rsid w:val="00914494"/>
    <w:rsid w:val="009264C9"/>
    <w:rsid w:val="009269AA"/>
    <w:rsid w:val="00942DB8"/>
    <w:rsid w:val="00984CE8"/>
    <w:rsid w:val="009B7E33"/>
    <w:rsid w:val="009E08C7"/>
    <w:rsid w:val="009E2A73"/>
    <w:rsid w:val="009E3B93"/>
    <w:rsid w:val="009E5D22"/>
    <w:rsid w:val="009F6D64"/>
    <w:rsid w:val="00A15A4A"/>
    <w:rsid w:val="00A26170"/>
    <w:rsid w:val="00A418D3"/>
    <w:rsid w:val="00A42ABB"/>
    <w:rsid w:val="00A5050B"/>
    <w:rsid w:val="00A54106"/>
    <w:rsid w:val="00A563AD"/>
    <w:rsid w:val="00A56BED"/>
    <w:rsid w:val="00A66902"/>
    <w:rsid w:val="00A66F1A"/>
    <w:rsid w:val="00A67404"/>
    <w:rsid w:val="00A96AD0"/>
    <w:rsid w:val="00A97F80"/>
    <w:rsid w:val="00AA4CA1"/>
    <w:rsid w:val="00AB46E9"/>
    <w:rsid w:val="00AC5475"/>
    <w:rsid w:val="00AE5D70"/>
    <w:rsid w:val="00AE6887"/>
    <w:rsid w:val="00AE7DA7"/>
    <w:rsid w:val="00B0102D"/>
    <w:rsid w:val="00B051BD"/>
    <w:rsid w:val="00B10DEC"/>
    <w:rsid w:val="00B34FC8"/>
    <w:rsid w:val="00B465C9"/>
    <w:rsid w:val="00B47455"/>
    <w:rsid w:val="00B51EE3"/>
    <w:rsid w:val="00B61C43"/>
    <w:rsid w:val="00B62ADB"/>
    <w:rsid w:val="00B87C62"/>
    <w:rsid w:val="00B90280"/>
    <w:rsid w:val="00BB1507"/>
    <w:rsid w:val="00BC4F1E"/>
    <w:rsid w:val="00BF3683"/>
    <w:rsid w:val="00BF384B"/>
    <w:rsid w:val="00C0041B"/>
    <w:rsid w:val="00C2189E"/>
    <w:rsid w:val="00C302BD"/>
    <w:rsid w:val="00C41EB5"/>
    <w:rsid w:val="00C44756"/>
    <w:rsid w:val="00C4492C"/>
    <w:rsid w:val="00C5094E"/>
    <w:rsid w:val="00C51389"/>
    <w:rsid w:val="00C64BC5"/>
    <w:rsid w:val="00C66E04"/>
    <w:rsid w:val="00C76ED0"/>
    <w:rsid w:val="00C77114"/>
    <w:rsid w:val="00C80E4E"/>
    <w:rsid w:val="00C87D5C"/>
    <w:rsid w:val="00CA5785"/>
    <w:rsid w:val="00CB3EDF"/>
    <w:rsid w:val="00CC1CFF"/>
    <w:rsid w:val="00CD2E22"/>
    <w:rsid w:val="00CD68D1"/>
    <w:rsid w:val="00CE505B"/>
    <w:rsid w:val="00CE5B59"/>
    <w:rsid w:val="00CE5E0F"/>
    <w:rsid w:val="00D03A0A"/>
    <w:rsid w:val="00D066DC"/>
    <w:rsid w:val="00D10469"/>
    <w:rsid w:val="00D52D63"/>
    <w:rsid w:val="00D8513C"/>
    <w:rsid w:val="00D91B03"/>
    <w:rsid w:val="00DA2200"/>
    <w:rsid w:val="00DB454E"/>
    <w:rsid w:val="00DC12E6"/>
    <w:rsid w:val="00DF11A8"/>
    <w:rsid w:val="00DF4DFE"/>
    <w:rsid w:val="00E00771"/>
    <w:rsid w:val="00E0176F"/>
    <w:rsid w:val="00E05DCD"/>
    <w:rsid w:val="00E14380"/>
    <w:rsid w:val="00E210AE"/>
    <w:rsid w:val="00E22542"/>
    <w:rsid w:val="00E42621"/>
    <w:rsid w:val="00E46918"/>
    <w:rsid w:val="00E51D1B"/>
    <w:rsid w:val="00E720C2"/>
    <w:rsid w:val="00E7387F"/>
    <w:rsid w:val="00E76178"/>
    <w:rsid w:val="00E76932"/>
    <w:rsid w:val="00E8286F"/>
    <w:rsid w:val="00EA261B"/>
    <w:rsid w:val="00EB638F"/>
    <w:rsid w:val="00EC0977"/>
    <w:rsid w:val="00EC4AFB"/>
    <w:rsid w:val="00EE1B5C"/>
    <w:rsid w:val="00F241DF"/>
    <w:rsid w:val="00F26690"/>
    <w:rsid w:val="00F6678D"/>
    <w:rsid w:val="00F814A5"/>
    <w:rsid w:val="00F86515"/>
    <w:rsid w:val="00F87641"/>
    <w:rsid w:val="00F97633"/>
    <w:rsid w:val="00FB7484"/>
    <w:rsid w:val="00FC5FDD"/>
    <w:rsid w:val="00FD1818"/>
    <w:rsid w:val="00FD6F6D"/>
    <w:rsid w:val="00FD7F9B"/>
    <w:rsid w:val="00FE403B"/>
    <w:rsid w:val="00FF6156"/>
    <w:rsid w:val="00FF7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99FFB89"/>
  <w15:docId w15:val="{CCE66587-8440-4032-BEA3-AE179CD9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5DCD"/>
    <w:pPr>
      <w:tabs>
        <w:tab w:val="center" w:pos="4252"/>
        <w:tab w:val="right" w:pos="8504"/>
      </w:tabs>
      <w:snapToGrid w:val="0"/>
    </w:pPr>
  </w:style>
  <w:style w:type="paragraph" w:styleId="a4">
    <w:name w:val="footer"/>
    <w:basedOn w:val="a"/>
    <w:rsid w:val="00E05DCD"/>
    <w:pPr>
      <w:tabs>
        <w:tab w:val="center" w:pos="4252"/>
        <w:tab w:val="right" w:pos="8504"/>
      </w:tabs>
      <w:snapToGrid w:val="0"/>
    </w:pPr>
  </w:style>
  <w:style w:type="paragraph" w:styleId="a5">
    <w:name w:val="Balloon Text"/>
    <w:basedOn w:val="a"/>
    <w:semiHidden/>
    <w:rsid w:val="0038512C"/>
    <w:rPr>
      <w:rFonts w:ascii="Arial" w:eastAsia="ＭＳ ゴシック" w:hAnsi="Arial"/>
      <w:sz w:val="18"/>
      <w:szCs w:val="18"/>
    </w:rPr>
  </w:style>
  <w:style w:type="character" w:styleId="a6">
    <w:name w:val="page number"/>
    <w:basedOn w:val="a0"/>
    <w:rsid w:val="00515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221">
      <w:bodyDiv w:val="1"/>
      <w:marLeft w:val="0"/>
      <w:marRight w:val="0"/>
      <w:marTop w:val="0"/>
      <w:marBottom w:val="0"/>
      <w:divBdr>
        <w:top w:val="none" w:sz="0" w:space="0" w:color="auto"/>
        <w:left w:val="none" w:sz="0" w:space="0" w:color="auto"/>
        <w:bottom w:val="none" w:sz="0" w:space="0" w:color="auto"/>
        <w:right w:val="none" w:sz="0" w:space="0" w:color="auto"/>
      </w:divBdr>
    </w:div>
    <w:div w:id="460927424">
      <w:bodyDiv w:val="1"/>
      <w:marLeft w:val="0"/>
      <w:marRight w:val="0"/>
      <w:marTop w:val="0"/>
      <w:marBottom w:val="0"/>
      <w:divBdr>
        <w:top w:val="none" w:sz="0" w:space="0" w:color="auto"/>
        <w:left w:val="none" w:sz="0" w:space="0" w:color="auto"/>
        <w:bottom w:val="none" w:sz="0" w:space="0" w:color="auto"/>
        <w:right w:val="none" w:sz="0" w:space="0" w:color="auto"/>
      </w:divBdr>
    </w:div>
    <w:div w:id="497161432">
      <w:bodyDiv w:val="1"/>
      <w:marLeft w:val="0"/>
      <w:marRight w:val="0"/>
      <w:marTop w:val="0"/>
      <w:marBottom w:val="0"/>
      <w:divBdr>
        <w:top w:val="none" w:sz="0" w:space="0" w:color="auto"/>
        <w:left w:val="none" w:sz="0" w:space="0" w:color="auto"/>
        <w:bottom w:val="none" w:sz="0" w:space="0" w:color="auto"/>
        <w:right w:val="none" w:sz="0" w:space="0" w:color="auto"/>
      </w:divBdr>
    </w:div>
    <w:div w:id="686175400">
      <w:bodyDiv w:val="1"/>
      <w:marLeft w:val="0"/>
      <w:marRight w:val="0"/>
      <w:marTop w:val="0"/>
      <w:marBottom w:val="0"/>
      <w:divBdr>
        <w:top w:val="none" w:sz="0" w:space="0" w:color="auto"/>
        <w:left w:val="none" w:sz="0" w:space="0" w:color="auto"/>
        <w:bottom w:val="none" w:sz="0" w:space="0" w:color="auto"/>
        <w:right w:val="none" w:sz="0" w:space="0" w:color="auto"/>
      </w:divBdr>
    </w:div>
    <w:div w:id="1159493281">
      <w:bodyDiv w:val="1"/>
      <w:marLeft w:val="0"/>
      <w:marRight w:val="0"/>
      <w:marTop w:val="0"/>
      <w:marBottom w:val="0"/>
      <w:divBdr>
        <w:top w:val="none" w:sz="0" w:space="0" w:color="auto"/>
        <w:left w:val="none" w:sz="0" w:space="0" w:color="auto"/>
        <w:bottom w:val="none" w:sz="0" w:space="0" w:color="auto"/>
        <w:right w:val="none" w:sz="0" w:space="0" w:color="auto"/>
      </w:divBdr>
    </w:div>
    <w:div w:id="1184786949">
      <w:bodyDiv w:val="1"/>
      <w:marLeft w:val="0"/>
      <w:marRight w:val="0"/>
      <w:marTop w:val="0"/>
      <w:marBottom w:val="0"/>
      <w:divBdr>
        <w:top w:val="none" w:sz="0" w:space="0" w:color="auto"/>
        <w:left w:val="none" w:sz="0" w:space="0" w:color="auto"/>
        <w:bottom w:val="none" w:sz="0" w:space="0" w:color="auto"/>
        <w:right w:val="none" w:sz="0" w:space="0" w:color="auto"/>
      </w:divBdr>
    </w:div>
    <w:div w:id="1371343065">
      <w:bodyDiv w:val="1"/>
      <w:marLeft w:val="0"/>
      <w:marRight w:val="0"/>
      <w:marTop w:val="0"/>
      <w:marBottom w:val="0"/>
      <w:divBdr>
        <w:top w:val="none" w:sz="0" w:space="0" w:color="auto"/>
        <w:left w:val="none" w:sz="0" w:space="0" w:color="auto"/>
        <w:bottom w:val="none" w:sz="0" w:space="0" w:color="auto"/>
        <w:right w:val="none" w:sz="0" w:space="0" w:color="auto"/>
      </w:divBdr>
    </w:div>
    <w:div w:id="1375082266">
      <w:bodyDiv w:val="1"/>
      <w:marLeft w:val="0"/>
      <w:marRight w:val="0"/>
      <w:marTop w:val="0"/>
      <w:marBottom w:val="0"/>
      <w:divBdr>
        <w:top w:val="none" w:sz="0" w:space="0" w:color="auto"/>
        <w:left w:val="none" w:sz="0" w:space="0" w:color="auto"/>
        <w:bottom w:val="none" w:sz="0" w:space="0" w:color="auto"/>
        <w:right w:val="none" w:sz="0" w:space="0" w:color="auto"/>
      </w:divBdr>
    </w:div>
    <w:div w:id="1463961795">
      <w:bodyDiv w:val="1"/>
      <w:marLeft w:val="0"/>
      <w:marRight w:val="0"/>
      <w:marTop w:val="0"/>
      <w:marBottom w:val="0"/>
      <w:divBdr>
        <w:top w:val="none" w:sz="0" w:space="0" w:color="auto"/>
        <w:left w:val="none" w:sz="0" w:space="0" w:color="auto"/>
        <w:bottom w:val="none" w:sz="0" w:space="0" w:color="auto"/>
        <w:right w:val="none" w:sz="0" w:space="0" w:color="auto"/>
      </w:divBdr>
    </w:div>
    <w:div w:id="1466197040">
      <w:bodyDiv w:val="1"/>
      <w:marLeft w:val="0"/>
      <w:marRight w:val="0"/>
      <w:marTop w:val="0"/>
      <w:marBottom w:val="0"/>
      <w:divBdr>
        <w:top w:val="none" w:sz="0" w:space="0" w:color="auto"/>
        <w:left w:val="none" w:sz="0" w:space="0" w:color="auto"/>
        <w:bottom w:val="none" w:sz="0" w:space="0" w:color="auto"/>
        <w:right w:val="none" w:sz="0" w:space="0" w:color="auto"/>
      </w:divBdr>
    </w:div>
    <w:div w:id="1623145436">
      <w:bodyDiv w:val="1"/>
      <w:marLeft w:val="0"/>
      <w:marRight w:val="0"/>
      <w:marTop w:val="0"/>
      <w:marBottom w:val="0"/>
      <w:divBdr>
        <w:top w:val="none" w:sz="0" w:space="0" w:color="auto"/>
        <w:left w:val="none" w:sz="0" w:space="0" w:color="auto"/>
        <w:bottom w:val="none" w:sz="0" w:space="0" w:color="auto"/>
        <w:right w:val="none" w:sz="0" w:space="0" w:color="auto"/>
      </w:divBdr>
    </w:div>
    <w:div w:id="1808356687">
      <w:bodyDiv w:val="1"/>
      <w:marLeft w:val="0"/>
      <w:marRight w:val="0"/>
      <w:marTop w:val="0"/>
      <w:marBottom w:val="0"/>
      <w:divBdr>
        <w:top w:val="none" w:sz="0" w:space="0" w:color="auto"/>
        <w:left w:val="none" w:sz="0" w:space="0" w:color="auto"/>
        <w:bottom w:val="none" w:sz="0" w:space="0" w:color="auto"/>
        <w:right w:val="none" w:sz="0" w:space="0" w:color="auto"/>
      </w:divBdr>
    </w:div>
    <w:div w:id="1945454183">
      <w:bodyDiv w:val="1"/>
      <w:marLeft w:val="0"/>
      <w:marRight w:val="0"/>
      <w:marTop w:val="0"/>
      <w:marBottom w:val="0"/>
      <w:divBdr>
        <w:top w:val="none" w:sz="0" w:space="0" w:color="auto"/>
        <w:left w:val="none" w:sz="0" w:space="0" w:color="auto"/>
        <w:bottom w:val="none" w:sz="0" w:space="0" w:color="auto"/>
        <w:right w:val="none" w:sz="0" w:space="0" w:color="auto"/>
      </w:divBdr>
    </w:div>
    <w:div w:id="19771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1186</Words>
  <Characters>185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学習指導要領</vt:lpstr>
      <vt:lpstr>学習指導要領</vt:lpstr>
    </vt:vector>
  </TitlesOfParts>
  <Company>TAIMS</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学習指導要領</dc:title>
  <dc:creator>TAIMS</dc:creator>
  <cp:lastModifiedBy>東京都</cp:lastModifiedBy>
  <cp:revision>3</cp:revision>
  <cp:lastPrinted>2018-05-14T05:36:00Z</cp:lastPrinted>
  <dcterms:created xsi:type="dcterms:W3CDTF">2021-05-07T01:13:00Z</dcterms:created>
  <dcterms:modified xsi:type="dcterms:W3CDTF">2021-05-13T00:18:00Z</dcterms:modified>
</cp:coreProperties>
</file>