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035B" w14:textId="02320C79" w:rsidR="005E4DE4" w:rsidRDefault="00694B09" w:rsidP="005E4DE4">
      <w:r>
        <w:rPr>
          <w:noProof/>
          <w:sz w:val="16"/>
          <w:szCs w:val="16"/>
        </w:rPr>
        <w:drawing>
          <wp:anchor distT="0" distB="0" distL="114300" distR="114300" simplePos="0" relativeHeight="251666432" behindDoc="0" locked="0" layoutInCell="1" allowOverlap="1" wp14:anchorId="56AB3609" wp14:editId="51C243DC">
            <wp:simplePos x="0" y="0"/>
            <wp:positionH relativeFrom="column">
              <wp:posOffset>247650</wp:posOffset>
            </wp:positionH>
            <wp:positionV relativeFrom="paragraph">
              <wp:posOffset>47625</wp:posOffset>
            </wp:positionV>
            <wp:extent cx="704850" cy="529746"/>
            <wp:effectExtent l="0" t="0" r="0" b="3810"/>
            <wp:wrapNone/>
            <wp:docPr id="31498463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644" b="61637"/>
                    <a:stretch>
                      <a:fillRect/>
                    </a:stretch>
                  </pic:blipFill>
                  <pic:spPr bwMode="auto">
                    <a:xfrm>
                      <a:off x="0" y="0"/>
                      <a:ext cx="704850" cy="5297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sz w:val="32"/>
          <w:szCs w:val="32"/>
          <w:bdr w:val="single" w:sz="4" w:space="0" w:color="auto"/>
        </w:rPr>
        <w:drawing>
          <wp:anchor distT="0" distB="0" distL="114300" distR="114300" simplePos="0" relativeHeight="251664384" behindDoc="0" locked="0" layoutInCell="1" allowOverlap="1" wp14:anchorId="6E20764F" wp14:editId="6D2B1ADA">
            <wp:simplePos x="0" y="0"/>
            <wp:positionH relativeFrom="margin">
              <wp:posOffset>6132195</wp:posOffset>
            </wp:positionH>
            <wp:positionV relativeFrom="paragraph">
              <wp:posOffset>-123825</wp:posOffset>
            </wp:positionV>
            <wp:extent cx="504708" cy="523875"/>
            <wp:effectExtent l="0" t="0" r="0" b="0"/>
            <wp:wrapNone/>
            <wp:docPr id="158678559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14" r="65452"/>
                    <a:stretch>
                      <a:fillRect/>
                    </a:stretch>
                  </pic:blipFill>
                  <pic:spPr bwMode="auto">
                    <a:xfrm>
                      <a:off x="0" y="0"/>
                      <a:ext cx="504708"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DE4">
        <w:rPr>
          <w:noProof/>
        </w:rPr>
        <mc:AlternateContent>
          <mc:Choice Requires="wps">
            <w:drawing>
              <wp:anchor distT="0" distB="0" distL="114300" distR="114300" simplePos="0" relativeHeight="251659264" behindDoc="0" locked="0" layoutInCell="1" allowOverlap="1" wp14:anchorId="684E28F0" wp14:editId="7129ECDE">
                <wp:simplePos x="0" y="0"/>
                <wp:positionH relativeFrom="column">
                  <wp:posOffset>38100</wp:posOffset>
                </wp:positionH>
                <wp:positionV relativeFrom="paragraph">
                  <wp:posOffset>106680</wp:posOffset>
                </wp:positionV>
                <wp:extent cx="6568440" cy="1325880"/>
                <wp:effectExtent l="0" t="0" r="22860" b="26670"/>
                <wp:wrapNone/>
                <wp:docPr id="1" name="フレーム 1"/>
                <wp:cNvGraphicFramePr/>
                <a:graphic xmlns:a="http://schemas.openxmlformats.org/drawingml/2006/main">
                  <a:graphicData uri="http://schemas.microsoft.com/office/word/2010/wordprocessingShape">
                    <wps:wsp>
                      <wps:cNvSpPr/>
                      <wps:spPr>
                        <a:xfrm>
                          <a:off x="0" y="0"/>
                          <a:ext cx="6568440" cy="13258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783FF5" id="フレーム 1" o:spid="_x0000_s1026" style="position:absolute;margin-left:3pt;margin-top:8.4pt;width:517.2pt;height:104.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568440,132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" path="m,l6568440,r,1325880l,1325880,,xm165735,165735r,994410l6402705,1160145r,-994410l165735,165735xe" fillcolor="#5b9bd5 [3204]" strokecolor="#1f4d78 [1604]" strokeweight="1pt">
                <v:stroke joinstyle="miter"/>
                <v:path arrowok="t" o:connecttype="custom" o:connectlocs="0,0;6568440,0;6568440,1325880;0,1325880;0,0;165735,165735;165735,1160145;6402705,1160145;6402705,165735;165735,165735" o:connectangles="0,0,0,0,0,0,0,0,0,0"/>
              </v:shape>
            </w:pict>
          </mc:Fallback>
        </mc:AlternateContent>
      </w:r>
    </w:p>
    <w:p w14:paraId="175F84C4" w14:textId="3053A466" w:rsidR="001E43CC" w:rsidRDefault="005E4DE4" w:rsidP="005E4DE4">
      <w:pPr>
        <w:ind w:firstLine="1814"/>
        <w:rPr>
          <w:sz w:val="28"/>
          <w:szCs w:val="28"/>
        </w:rPr>
      </w:pPr>
      <w:r>
        <w:rPr>
          <w:rFonts w:ascii="Century" w:hAnsi="Century"/>
          <w:b/>
          <w:noProof/>
          <w:sz w:val="28"/>
          <w:szCs w:val="28"/>
        </w:rPr>
        <w:drawing>
          <wp:anchor distT="0" distB="0" distL="114300" distR="114300" simplePos="0" relativeHeight="251661312" behindDoc="1" locked="0" layoutInCell="1" allowOverlap="1" wp14:anchorId="2DEE599C" wp14:editId="269A0382">
            <wp:simplePos x="0" y="0"/>
            <wp:positionH relativeFrom="column">
              <wp:posOffset>281940</wp:posOffset>
            </wp:positionH>
            <wp:positionV relativeFrom="paragraph">
              <wp:posOffset>205740</wp:posOffset>
            </wp:positionV>
            <wp:extent cx="690245" cy="663575"/>
            <wp:effectExtent l="0" t="0" r="0" b="31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90245" cy="663575"/>
                    </a:xfrm>
                    <a:prstGeom prst="rect">
                      <a:avLst/>
                    </a:prstGeom>
                  </pic:spPr>
                </pic:pic>
              </a:graphicData>
            </a:graphic>
            <wp14:sizeRelH relativeFrom="margin">
              <wp14:pctWidth>0</wp14:pctWidth>
            </wp14:sizeRelH>
            <wp14:sizeRelV relativeFrom="margin">
              <wp14:pctHeight>0</wp14:pctHeight>
            </wp14:sizeRelV>
          </wp:anchor>
        </w:drawing>
      </w:r>
      <w:r w:rsidRPr="005E4DE4">
        <w:rPr>
          <w:rFonts w:hint="eastAsia"/>
          <w:sz w:val="52"/>
          <w:szCs w:val="52"/>
        </w:rPr>
        <w:t>進路通信【だるま】</w:t>
      </w:r>
      <w:r>
        <w:rPr>
          <w:rFonts w:hint="eastAsia"/>
          <w:sz w:val="52"/>
          <w:szCs w:val="52"/>
        </w:rPr>
        <w:t xml:space="preserve">　</w:t>
      </w:r>
      <w:r w:rsidR="00D8736A">
        <w:rPr>
          <w:rFonts w:hint="eastAsia"/>
          <w:sz w:val="52"/>
          <w:szCs w:val="52"/>
        </w:rPr>
        <w:t xml:space="preserve">　　　</w:t>
      </w:r>
      <w:r w:rsidR="00D8736A">
        <w:rPr>
          <w:rFonts w:hint="eastAsia"/>
          <w:sz w:val="28"/>
          <w:szCs w:val="28"/>
        </w:rPr>
        <w:t>進路指導</w:t>
      </w:r>
      <w:r>
        <w:rPr>
          <w:rFonts w:hint="eastAsia"/>
          <w:sz w:val="28"/>
          <w:szCs w:val="28"/>
        </w:rPr>
        <w:t>部</w:t>
      </w:r>
    </w:p>
    <w:p w14:paraId="46750A5A" w14:textId="22C2B096" w:rsidR="005E4DE4" w:rsidRPr="00E13119" w:rsidRDefault="005E4DE4" w:rsidP="00E13119">
      <w:pPr>
        <w:ind w:firstLine="1814"/>
        <w:rPr>
          <w:sz w:val="28"/>
          <w:szCs w:val="28"/>
        </w:rPr>
      </w:pPr>
      <w:r>
        <w:rPr>
          <w:rFonts w:hint="eastAsia"/>
          <w:sz w:val="28"/>
          <w:szCs w:val="28"/>
        </w:rPr>
        <w:t xml:space="preserve">　　　　　　　　　　　　　　　　　　　　</w:t>
      </w:r>
      <w:r w:rsidR="00F17E83">
        <w:rPr>
          <w:rFonts w:hint="eastAsia"/>
          <w:sz w:val="28"/>
          <w:szCs w:val="28"/>
        </w:rPr>
        <w:t>202</w:t>
      </w:r>
      <w:r w:rsidR="00694B09">
        <w:rPr>
          <w:rFonts w:hint="eastAsia"/>
          <w:sz w:val="28"/>
          <w:szCs w:val="28"/>
        </w:rPr>
        <w:t>5</w:t>
      </w:r>
      <w:r w:rsidR="00B2408D">
        <w:rPr>
          <w:rFonts w:hint="eastAsia"/>
          <w:sz w:val="28"/>
          <w:szCs w:val="28"/>
        </w:rPr>
        <w:t xml:space="preserve">年度　</w:t>
      </w:r>
      <w:r>
        <w:rPr>
          <w:rFonts w:hint="eastAsia"/>
          <w:sz w:val="28"/>
          <w:szCs w:val="28"/>
        </w:rPr>
        <w:t>第</w:t>
      </w:r>
      <w:r w:rsidR="001F7248">
        <w:rPr>
          <w:rFonts w:hint="eastAsia"/>
          <w:sz w:val="28"/>
          <w:szCs w:val="28"/>
        </w:rPr>
        <w:t>３</w:t>
      </w:r>
      <w:r>
        <w:rPr>
          <w:rFonts w:hint="eastAsia"/>
          <w:sz w:val="28"/>
          <w:szCs w:val="28"/>
        </w:rPr>
        <w:t>号</w:t>
      </w:r>
    </w:p>
    <w:p w14:paraId="2EE15A23" w14:textId="3B7DEC12" w:rsidR="00027B04" w:rsidRPr="005C1E44" w:rsidRDefault="00027B04" w:rsidP="009976EF">
      <w:pPr>
        <w:spacing w:before="20" w:after="20" w:line="60" w:lineRule="auto"/>
        <w:rPr>
          <w:sz w:val="16"/>
          <w:szCs w:val="16"/>
          <w:bdr w:val="single" w:sz="4" w:space="0" w:color="auto"/>
        </w:rPr>
      </w:pPr>
    </w:p>
    <w:p w14:paraId="0AF18623" w14:textId="7ED2618B" w:rsidR="00E13119" w:rsidRPr="00E13119" w:rsidRDefault="00E13119" w:rsidP="009976EF">
      <w:pPr>
        <w:spacing w:before="20" w:after="20" w:line="60" w:lineRule="auto"/>
        <w:rPr>
          <w:sz w:val="36"/>
          <w:szCs w:val="36"/>
          <w:bdr w:val="single" w:sz="4" w:space="0" w:color="auto"/>
        </w:rPr>
      </w:pPr>
      <w:r w:rsidRPr="00E13119">
        <w:rPr>
          <w:rFonts w:hint="eastAsia"/>
          <w:sz w:val="36"/>
          <w:szCs w:val="36"/>
          <w:bdr w:val="single" w:sz="4" w:space="0" w:color="auto"/>
        </w:rPr>
        <w:t>はじめに</w:t>
      </w:r>
    </w:p>
    <w:p w14:paraId="28539171" w14:textId="384E68E9" w:rsidR="002576B6" w:rsidRPr="002576B6" w:rsidRDefault="002576B6" w:rsidP="002576B6">
      <w:pPr>
        <w:spacing w:before="20" w:after="20" w:line="60" w:lineRule="auto"/>
        <w:ind w:firstLine="210"/>
        <w:rPr>
          <w:szCs w:val="21"/>
        </w:rPr>
      </w:pPr>
      <w:r w:rsidRPr="002576B6">
        <w:rPr>
          <w:rFonts w:hint="eastAsia"/>
          <w:szCs w:val="21"/>
        </w:rPr>
        <w:t>三学期が終わり、今年度もいよいよ締めくくりの時期となりました。</w:t>
      </w:r>
      <w:r w:rsidRPr="002576B6">
        <w:rPr>
          <w:szCs w:val="21"/>
        </w:rPr>
        <w:t>3年</w:t>
      </w:r>
      <w:r>
        <w:rPr>
          <w:rFonts w:hint="eastAsia"/>
          <w:szCs w:val="21"/>
        </w:rPr>
        <w:t>次</w:t>
      </w:r>
      <w:r w:rsidRPr="002576B6">
        <w:rPr>
          <w:szCs w:val="21"/>
        </w:rPr>
        <w:t>はそれぞれの進路先を決定し、新たな環境へと歩み始めます。1・2年</w:t>
      </w:r>
      <w:r>
        <w:rPr>
          <w:rFonts w:hint="eastAsia"/>
          <w:szCs w:val="21"/>
        </w:rPr>
        <w:t>次の皆さん</w:t>
      </w:r>
      <w:r w:rsidRPr="002576B6">
        <w:rPr>
          <w:szCs w:val="21"/>
        </w:rPr>
        <w:t>も、行事や面談、探究活動などを通して、自分の将来について考える一年になったことと思います。</w:t>
      </w:r>
    </w:p>
    <w:p w14:paraId="5C87B518" w14:textId="62519297" w:rsidR="00CC6DDF" w:rsidRPr="00CC6DDF" w:rsidRDefault="00CC6DDF" w:rsidP="00B44D3D">
      <w:pPr>
        <w:spacing w:before="20" w:after="20" w:line="60" w:lineRule="auto"/>
        <w:ind w:firstLineChars="100" w:firstLine="210"/>
        <w:rPr>
          <w:szCs w:val="21"/>
        </w:rPr>
      </w:pPr>
      <w:r w:rsidRPr="00CC6DDF">
        <w:rPr>
          <w:rFonts w:hint="eastAsia"/>
          <w:szCs w:val="21"/>
        </w:rPr>
        <w:t>アメリカの</w:t>
      </w:r>
      <w:r>
        <w:rPr>
          <w:rFonts w:hint="eastAsia"/>
          <w:szCs w:val="21"/>
        </w:rPr>
        <w:t>心理学者</w:t>
      </w:r>
      <w:r w:rsidRPr="00CC6DDF">
        <w:rPr>
          <w:rFonts w:hint="eastAsia"/>
          <w:szCs w:val="21"/>
        </w:rPr>
        <w:t>であるウィリアム・ジェームズは、「私の世代の最大の発見は、人</w:t>
      </w:r>
      <w:r w:rsidR="00EE4012">
        <w:rPr>
          <w:rFonts w:hint="eastAsia"/>
          <w:szCs w:val="21"/>
        </w:rPr>
        <w:t>が</w:t>
      </w:r>
      <w:r w:rsidR="00EE4012" w:rsidRPr="00EE4012">
        <w:rPr>
          <w:rFonts w:hint="eastAsia"/>
          <w:szCs w:val="21"/>
        </w:rPr>
        <w:t>心の持ち方</w:t>
      </w:r>
      <w:r w:rsidRPr="00CC6DDF">
        <w:rPr>
          <w:rFonts w:hint="eastAsia"/>
          <w:szCs w:val="21"/>
        </w:rPr>
        <w:t>を変えることによって</w:t>
      </w:r>
      <w:r w:rsidR="00EE4012">
        <w:rPr>
          <w:rFonts w:hint="eastAsia"/>
          <w:szCs w:val="21"/>
        </w:rPr>
        <w:t>、</w:t>
      </w:r>
      <w:r w:rsidRPr="00CC6DDF">
        <w:rPr>
          <w:rFonts w:hint="eastAsia"/>
          <w:szCs w:val="21"/>
        </w:rPr>
        <w:t>人生を変えることができるということだ</w:t>
      </w:r>
      <w:r w:rsidR="00EE4012">
        <w:rPr>
          <w:rFonts w:hint="eastAsia"/>
          <w:szCs w:val="21"/>
        </w:rPr>
        <w:t>。（</w:t>
      </w:r>
      <w:r w:rsidR="00EE4012" w:rsidRPr="00EE4012">
        <w:rPr>
          <w:szCs w:val="21"/>
        </w:rPr>
        <w:t>The greatest discovery of my generation is that human beings can alter their lives by altering their attitudes of mind.</w:t>
      </w:r>
      <w:r w:rsidR="00EE4012">
        <w:rPr>
          <w:rFonts w:hint="eastAsia"/>
          <w:szCs w:val="21"/>
        </w:rPr>
        <w:t>）</w:t>
      </w:r>
      <w:r w:rsidRPr="00CC6DDF">
        <w:rPr>
          <w:rFonts w:hint="eastAsia"/>
          <w:szCs w:val="21"/>
        </w:rPr>
        <w:t>」と述べています。進路に向き合う中で、不安や迷いを感じることは自然なことです。しかし、「どうせ無理だ」と思うか</w:t>
      </w:r>
      <w:r w:rsidR="00B44D3D">
        <w:rPr>
          <w:rFonts w:hint="eastAsia"/>
          <w:szCs w:val="21"/>
        </w:rPr>
        <w:t>、</w:t>
      </w:r>
      <w:r w:rsidRPr="00CC6DDF">
        <w:rPr>
          <w:rFonts w:hint="eastAsia"/>
          <w:szCs w:val="21"/>
        </w:rPr>
        <w:t>「まずはやってみよう」と思うかで</w:t>
      </w:r>
      <w:r w:rsidR="00B44D3D">
        <w:rPr>
          <w:rFonts w:hint="eastAsia"/>
          <w:szCs w:val="21"/>
        </w:rPr>
        <w:t>、</w:t>
      </w:r>
      <w:r w:rsidRPr="00CC6DDF">
        <w:rPr>
          <w:rFonts w:hint="eastAsia"/>
          <w:szCs w:val="21"/>
        </w:rPr>
        <w:t>その後の行動は大きく変わります。考え方を前向きに整えることも、進路実現に向けた大切な一歩です。</w:t>
      </w:r>
    </w:p>
    <w:p w14:paraId="5D3B471D" w14:textId="330CCC0E" w:rsidR="00CC6DDF" w:rsidRPr="00CC6DDF" w:rsidRDefault="00CC6DDF" w:rsidP="00CC6DDF">
      <w:pPr>
        <w:spacing w:before="20" w:after="20" w:line="60" w:lineRule="auto"/>
        <w:ind w:firstLineChars="100" w:firstLine="210"/>
        <w:rPr>
          <w:szCs w:val="21"/>
        </w:rPr>
      </w:pPr>
      <w:r w:rsidRPr="00CC6DDF">
        <w:rPr>
          <w:rFonts w:hint="eastAsia"/>
          <w:szCs w:val="21"/>
        </w:rPr>
        <w:t>進路選択は、単に進学先や就職先を決めることではありません。自分の強みや弱みを見つめ直し、どのような未来を築いていきたいのかを考える時間です。今年度の経験を振り返り、自分が成長できた点や今後の課題を整理してみてください。</w:t>
      </w:r>
    </w:p>
    <w:p w14:paraId="0A5FF3A9" w14:textId="72531535" w:rsidR="00027B04" w:rsidRPr="00B44D3D" w:rsidRDefault="00B44D3D" w:rsidP="00E26AC8">
      <w:pPr>
        <w:spacing w:before="20" w:after="20" w:line="60" w:lineRule="auto"/>
        <w:ind w:firstLineChars="100" w:firstLine="210"/>
        <w:rPr>
          <w:szCs w:val="21"/>
        </w:rPr>
      </w:pPr>
      <w:r w:rsidRPr="00B44D3D">
        <w:rPr>
          <w:rFonts w:hint="eastAsia"/>
          <w:szCs w:val="21"/>
        </w:rPr>
        <w:t>新年度は、新たな目標を掲げる良い機会です。今日の一歩を大切にしながら、自分らしい未来を築いていきましょう。皆さんのさらなる成長を心から期待しています</w:t>
      </w:r>
      <w:r>
        <w:rPr>
          <w:rFonts w:hint="eastAsia"/>
          <w:szCs w:val="21"/>
        </w:rPr>
        <w:t>！</w:t>
      </w:r>
    </w:p>
    <w:p w14:paraId="1C71BA82" w14:textId="77E408C9" w:rsidR="009619B1" w:rsidRPr="001C48CC" w:rsidRDefault="00E44012" w:rsidP="00CC6DDF">
      <w:pPr>
        <w:spacing w:before="20" w:after="20" w:line="60" w:lineRule="auto"/>
        <w:rPr>
          <w:sz w:val="32"/>
          <w:szCs w:val="32"/>
          <w:bdr w:val="single" w:sz="4" w:space="0" w:color="auto"/>
        </w:rPr>
      </w:pPr>
      <w:r>
        <w:rPr>
          <w:rFonts w:hint="eastAsia"/>
          <w:sz w:val="32"/>
          <w:szCs w:val="32"/>
          <w:bdr w:val="single" w:sz="4" w:space="0" w:color="auto"/>
        </w:rPr>
        <w:t>春季休業</w:t>
      </w:r>
      <w:r w:rsidR="001C48CC" w:rsidRPr="001C48CC">
        <w:rPr>
          <w:rFonts w:hint="eastAsia"/>
          <w:sz w:val="32"/>
          <w:szCs w:val="32"/>
          <w:bdr w:val="single" w:sz="4" w:space="0" w:color="auto"/>
        </w:rPr>
        <w:t>中について</w:t>
      </w:r>
    </w:p>
    <w:p w14:paraId="5D3A9BB2" w14:textId="7578B24B" w:rsidR="00A93C51" w:rsidRDefault="00A93C51" w:rsidP="00A93C51">
      <w:pPr>
        <w:spacing w:before="20" w:after="20" w:line="60" w:lineRule="auto"/>
        <w:ind w:firstLine="210"/>
        <w:rPr>
          <w:szCs w:val="21"/>
        </w:rPr>
      </w:pPr>
      <w:r w:rsidRPr="00A93C51">
        <w:rPr>
          <w:rFonts w:hint="eastAsia"/>
          <w:szCs w:val="21"/>
        </w:rPr>
        <w:t>これから始まる春季休業は、単なる「休み」ではありません。次の学年へ向けて心と生活を整える大切な準備期間です。生活リズムを大きく崩さないこと、基礎学力の復習に取り組むこと、そして将来について改めて考える時間を持つことが重要です。特に進路については、「まだ先のこと」と思わず、自分の興味や得意なことを見つめ直す機会にしてください。</w:t>
      </w:r>
    </w:p>
    <w:p w14:paraId="60D22F47" w14:textId="325CDD7C" w:rsidR="00E26AC8" w:rsidRPr="00E26AC8" w:rsidRDefault="00E26AC8" w:rsidP="00E26AC8">
      <w:pPr>
        <w:spacing w:before="20" w:after="20" w:line="60" w:lineRule="auto"/>
        <w:ind w:firstLine="210"/>
        <w:rPr>
          <w:szCs w:val="21"/>
        </w:rPr>
      </w:pPr>
      <w:r>
        <w:rPr>
          <w:rFonts w:hint="eastAsia"/>
          <w:noProof/>
          <w:szCs w:val="21"/>
        </w:rPr>
        <w:drawing>
          <wp:anchor distT="0" distB="0" distL="114300" distR="114300" simplePos="0" relativeHeight="251665408" behindDoc="0" locked="0" layoutInCell="1" allowOverlap="1" wp14:anchorId="4941BD1A" wp14:editId="5CCB0916">
            <wp:simplePos x="0" y="0"/>
            <wp:positionH relativeFrom="margin">
              <wp:posOffset>5966460</wp:posOffset>
            </wp:positionH>
            <wp:positionV relativeFrom="paragraph">
              <wp:posOffset>656589</wp:posOffset>
            </wp:positionV>
            <wp:extent cx="416207" cy="594295"/>
            <wp:effectExtent l="19050" t="19050" r="0" b="34925"/>
            <wp:wrapNone/>
            <wp:docPr id="7057416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9679" b="52327"/>
                    <a:stretch>
                      <a:fillRect/>
                    </a:stretch>
                  </pic:blipFill>
                  <pic:spPr bwMode="auto">
                    <a:xfrm rot="1670945">
                      <a:off x="0" y="0"/>
                      <a:ext cx="416207" cy="594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3C51">
        <w:rPr>
          <w:rFonts w:hint="eastAsia"/>
          <w:szCs w:val="21"/>
        </w:rPr>
        <w:t>また、</w:t>
      </w:r>
      <w:r w:rsidR="00A93C51" w:rsidRPr="00A93C51">
        <w:rPr>
          <w:rFonts w:hint="eastAsia"/>
          <w:szCs w:val="21"/>
        </w:rPr>
        <w:t>オープンキャンパスに参加することも有意義です。実際に大学や専門学校の雰囲気に触れることで、自分の将来像がより具体的になります。資料を見るだけでは分からない学びの特色や校風を感じ、自分に合う進路について考える</w:t>
      </w:r>
      <w:r w:rsidR="00A93C51">
        <w:rPr>
          <w:rFonts w:hint="eastAsia"/>
          <w:szCs w:val="21"/>
        </w:rPr>
        <w:t>参考</w:t>
      </w:r>
      <w:r w:rsidR="00A93C51" w:rsidRPr="00A93C51">
        <w:rPr>
          <w:rFonts w:hint="eastAsia"/>
          <w:szCs w:val="21"/>
        </w:rPr>
        <w:t>にしてください</w:t>
      </w:r>
      <w:r w:rsidR="00A93C51">
        <w:rPr>
          <w:rFonts w:hint="eastAsia"/>
          <w:szCs w:val="21"/>
        </w:rPr>
        <w:t>！</w:t>
      </w:r>
    </w:p>
    <w:p w14:paraId="027AB2BC" w14:textId="0A7246AC" w:rsidR="00E26AC8" w:rsidRPr="007A2397" w:rsidRDefault="00E26AC8" w:rsidP="00E26AC8">
      <w:pPr>
        <w:spacing w:before="20" w:after="20" w:line="60" w:lineRule="auto"/>
        <w:rPr>
          <w:noProof/>
          <w:sz w:val="32"/>
          <w:szCs w:val="32"/>
          <w:bdr w:val="single" w:sz="4" w:space="0" w:color="auto"/>
        </w:rPr>
      </w:pPr>
      <w:r>
        <w:rPr>
          <w:rFonts w:hint="eastAsia"/>
          <w:noProof/>
          <w:sz w:val="32"/>
          <w:szCs w:val="32"/>
          <w:bdr w:val="single" w:sz="4" w:space="0" w:color="auto"/>
        </w:rPr>
        <w:t>14期生の進路決定状況</w:t>
      </w:r>
      <w:r>
        <w:rPr>
          <w:rFonts w:hint="eastAsia"/>
          <w:noProof/>
          <w:sz w:val="32"/>
          <w:szCs w:val="32"/>
        </w:rPr>
        <w:t>（3月1</w:t>
      </w:r>
      <w:r w:rsidR="001B3043">
        <w:rPr>
          <w:rFonts w:hint="eastAsia"/>
          <w:noProof/>
          <w:sz w:val="32"/>
          <w:szCs w:val="32"/>
        </w:rPr>
        <w:t>8</w:t>
      </w:r>
      <w:r>
        <w:rPr>
          <w:rFonts w:hint="eastAsia"/>
          <w:noProof/>
          <w:sz w:val="32"/>
          <w:szCs w:val="32"/>
        </w:rPr>
        <w:t>日現在）</w:t>
      </w:r>
    </w:p>
    <w:p w14:paraId="38278128" w14:textId="2E6E882B" w:rsidR="00E26AC8" w:rsidRPr="0097368C" w:rsidRDefault="00E26AC8" w:rsidP="00E26AC8">
      <w:pPr>
        <w:spacing w:before="20" w:after="20" w:line="60" w:lineRule="auto"/>
        <w:ind w:firstLine="210"/>
        <w:rPr>
          <w:noProof/>
          <w:sz w:val="32"/>
          <w:szCs w:val="32"/>
          <w:bdr w:val="single" w:sz="4" w:space="0" w:color="auto"/>
        </w:rPr>
      </w:pPr>
      <w:r>
        <w:rPr>
          <w:rFonts w:hint="eastAsia"/>
          <w:noProof/>
          <w:sz w:val="24"/>
          <w:szCs w:val="24"/>
        </w:rPr>
        <w:t>14期生の進路状況をお知らせします。詳細は来年度の「進学の手引き」で確認してください。</w:t>
      </w:r>
    </w:p>
    <w:tbl>
      <w:tblPr>
        <w:tblStyle w:val="a3"/>
        <w:tblW w:w="0" w:type="auto"/>
        <w:tblLook w:val="04A0" w:firstRow="1" w:lastRow="0" w:firstColumn="1" w:lastColumn="0" w:noHBand="0" w:noVBand="1"/>
      </w:tblPr>
      <w:tblGrid>
        <w:gridCol w:w="1696"/>
        <w:gridCol w:w="1560"/>
        <w:gridCol w:w="1559"/>
        <w:gridCol w:w="2076"/>
        <w:gridCol w:w="1475"/>
        <w:gridCol w:w="1447"/>
      </w:tblGrid>
      <w:tr w:rsidR="001B3043" w:rsidRPr="00AA7237" w14:paraId="2324AE9E" w14:textId="77777777" w:rsidTr="001B3043">
        <w:trPr>
          <w:trHeight w:val="780"/>
        </w:trPr>
        <w:tc>
          <w:tcPr>
            <w:tcW w:w="1696" w:type="dxa"/>
          </w:tcPr>
          <w:p w14:paraId="5E92B17A" w14:textId="77777777" w:rsidR="001B3043" w:rsidRPr="00AA7237" w:rsidRDefault="001B3043" w:rsidP="00D33B79">
            <w:pPr>
              <w:spacing w:before="20" w:after="20" w:line="60" w:lineRule="auto"/>
              <w:jc w:val="center"/>
              <w:rPr>
                <w:sz w:val="28"/>
                <w:szCs w:val="28"/>
              </w:rPr>
            </w:pPr>
            <w:r w:rsidRPr="00AA7237">
              <w:rPr>
                <w:rFonts w:hint="eastAsia"/>
                <w:sz w:val="28"/>
                <w:szCs w:val="28"/>
              </w:rPr>
              <w:t>4年大学</w:t>
            </w:r>
          </w:p>
        </w:tc>
        <w:tc>
          <w:tcPr>
            <w:tcW w:w="1560" w:type="dxa"/>
          </w:tcPr>
          <w:p w14:paraId="3CAF6CE9" w14:textId="77777777" w:rsidR="001B3043" w:rsidRPr="00AA7237" w:rsidRDefault="001B3043" w:rsidP="00D33B79">
            <w:pPr>
              <w:spacing w:before="20" w:after="20" w:line="60" w:lineRule="auto"/>
              <w:jc w:val="center"/>
              <w:rPr>
                <w:sz w:val="28"/>
                <w:szCs w:val="28"/>
              </w:rPr>
            </w:pPr>
            <w:r w:rsidRPr="00AA7237">
              <w:rPr>
                <w:rFonts w:hint="eastAsia"/>
                <w:sz w:val="28"/>
                <w:szCs w:val="28"/>
              </w:rPr>
              <w:t>短期大学</w:t>
            </w:r>
          </w:p>
        </w:tc>
        <w:tc>
          <w:tcPr>
            <w:tcW w:w="1559" w:type="dxa"/>
          </w:tcPr>
          <w:p w14:paraId="30F20D73" w14:textId="77777777" w:rsidR="001B3043" w:rsidRPr="00AA7237" w:rsidRDefault="001B3043" w:rsidP="00D33B79">
            <w:pPr>
              <w:spacing w:before="20" w:after="20" w:line="60" w:lineRule="auto"/>
              <w:jc w:val="center"/>
              <w:rPr>
                <w:sz w:val="28"/>
                <w:szCs w:val="28"/>
              </w:rPr>
            </w:pPr>
            <w:r w:rsidRPr="00AA7237">
              <w:rPr>
                <w:rFonts w:hint="eastAsia"/>
                <w:sz w:val="28"/>
                <w:szCs w:val="28"/>
              </w:rPr>
              <w:t>専門学校</w:t>
            </w:r>
          </w:p>
        </w:tc>
        <w:tc>
          <w:tcPr>
            <w:tcW w:w="2076" w:type="dxa"/>
          </w:tcPr>
          <w:p w14:paraId="50FAB058" w14:textId="35AAA7FC" w:rsidR="001B3043" w:rsidRPr="00AA7237" w:rsidRDefault="001B3043" w:rsidP="00D33B79">
            <w:pPr>
              <w:spacing w:before="20" w:after="20" w:line="60" w:lineRule="auto"/>
              <w:jc w:val="center"/>
              <w:rPr>
                <w:sz w:val="28"/>
                <w:szCs w:val="28"/>
              </w:rPr>
            </w:pPr>
            <w:r w:rsidRPr="00AA7237">
              <w:rPr>
                <w:rFonts w:hint="eastAsia"/>
                <w:sz w:val="28"/>
                <w:szCs w:val="28"/>
              </w:rPr>
              <w:t>就職</w:t>
            </w:r>
            <w:r>
              <w:rPr>
                <w:rFonts w:hint="eastAsia"/>
                <w:sz w:val="28"/>
                <w:szCs w:val="28"/>
              </w:rPr>
              <w:t>・公務員</w:t>
            </w:r>
          </w:p>
        </w:tc>
        <w:tc>
          <w:tcPr>
            <w:tcW w:w="1475" w:type="dxa"/>
          </w:tcPr>
          <w:p w14:paraId="4C0E511A" w14:textId="77777777" w:rsidR="001B3043" w:rsidRPr="00AA7237" w:rsidRDefault="001B3043" w:rsidP="00D33B79">
            <w:pPr>
              <w:spacing w:before="20" w:after="20" w:line="60" w:lineRule="auto"/>
              <w:jc w:val="center"/>
              <w:rPr>
                <w:sz w:val="28"/>
                <w:szCs w:val="28"/>
              </w:rPr>
            </w:pPr>
            <w:r w:rsidRPr="00AA7237">
              <w:rPr>
                <w:rFonts w:hint="eastAsia"/>
                <w:sz w:val="28"/>
                <w:szCs w:val="28"/>
              </w:rPr>
              <w:t>その他</w:t>
            </w:r>
          </w:p>
        </w:tc>
        <w:tc>
          <w:tcPr>
            <w:tcW w:w="1447" w:type="dxa"/>
          </w:tcPr>
          <w:p w14:paraId="5C4A22C4" w14:textId="77777777" w:rsidR="001B3043" w:rsidRPr="00AA7237" w:rsidRDefault="001B3043" w:rsidP="00D33B79">
            <w:pPr>
              <w:spacing w:before="20" w:after="20" w:line="60" w:lineRule="auto"/>
              <w:jc w:val="center"/>
              <w:rPr>
                <w:sz w:val="28"/>
                <w:szCs w:val="28"/>
              </w:rPr>
            </w:pPr>
            <w:r w:rsidRPr="00AA7237">
              <w:rPr>
                <w:rFonts w:hint="eastAsia"/>
                <w:sz w:val="28"/>
                <w:szCs w:val="28"/>
              </w:rPr>
              <w:t>計</w:t>
            </w:r>
          </w:p>
        </w:tc>
      </w:tr>
      <w:tr w:rsidR="001B3043" w:rsidRPr="00AA7237" w14:paraId="3A06AFBA" w14:textId="77777777" w:rsidTr="001B3043">
        <w:trPr>
          <w:trHeight w:val="780"/>
        </w:trPr>
        <w:tc>
          <w:tcPr>
            <w:tcW w:w="1696" w:type="dxa"/>
          </w:tcPr>
          <w:p w14:paraId="514BAF13" w14:textId="6ACBCAFE" w:rsidR="001B3043" w:rsidRPr="00AA7237" w:rsidRDefault="001B3043" w:rsidP="00D33B79">
            <w:pPr>
              <w:spacing w:before="20" w:after="20" w:line="60" w:lineRule="auto"/>
              <w:jc w:val="center"/>
              <w:rPr>
                <w:sz w:val="28"/>
                <w:szCs w:val="28"/>
              </w:rPr>
            </w:pPr>
            <w:r>
              <w:rPr>
                <w:rFonts w:hint="eastAsia"/>
                <w:sz w:val="28"/>
                <w:szCs w:val="28"/>
              </w:rPr>
              <w:t>71人</w:t>
            </w:r>
          </w:p>
        </w:tc>
        <w:tc>
          <w:tcPr>
            <w:tcW w:w="1560" w:type="dxa"/>
          </w:tcPr>
          <w:p w14:paraId="5F885746" w14:textId="13E21312" w:rsidR="001B3043" w:rsidRPr="00AA7237" w:rsidRDefault="001B3043" w:rsidP="00D33B79">
            <w:pPr>
              <w:spacing w:before="20" w:after="20" w:line="60" w:lineRule="auto"/>
              <w:jc w:val="center"/>
              <w:rPr>
                <w:sz w:val="28"/>
                <w:szCs w:val="28"/>
              </w:rPr>
            </w:pPr>
            <w:r>
              <w:rPr>
                <w:rFonts w:hint="eastAsia"/>
                <w:sz w:val="28"/>
                <w:szCs w:val="28"/>
              </w:rPr>
              <w:t>13人</w:t>
            </w:r>
          </w:p>
        </w:tc>
        <w:tc>
          <w:tcPr>
            <w:tcW w:w="1559" w:type="dxa"/>
          </w:tcPr>
          <w:p w14:paraId="0C88FD70" w14:textId="6DF1DA5A" w:rsidR="001B3043" w:rsidRPr="00AA7237" w:rsidRDefault="001B3043" w:rsidP="00D33B79">
            <w:pPr>
              <w:spacing w:before="20" w:after="20" w:line="60" w:lineRule="auto"/>
              <w:jc w:val="center"/>
              <w:rPr>
                <w:sz w:val="28"/>
                <w:szCs w:val="28"/>
              </w:rPr>
            </w:pPr>
            <w:r>
              <w:rPr>
                <w:rFonts w:hint="eastAsia"/>
                <w:sz w:val="28"/>
                <w:szCs w:val="28"/>
              </w:rPr>
              <w:t>79人</w:t>
            </w:r>
          </w:p>
        </w:tc>
        <w:tc>
          <w:tcPr>
            <w:tcW w:w="2076" w:type="dxa"/>
          </w:tcPr>
          <w:p w14:paraId="7E6F5F77" w14:textId="66BC8E38" w:rsidR="001B3043" w:rsidRPr="00AA7237" w:rsidRDefault="008B7469" w:rsidP="00D33B79">
            <w:pPr>
              <w:spacing w:before="20" w:after="20" w:line="60" w:lineRule="auto"/>
              <w:jc w:val="center"/>
              <w:rPr>
                <w:sz w:val="28"/>
                <w:szCs w:val="28"/>
              </w:rPr>
            </w:pPr>
            <w:r>
              <w:rPr>
                <w:rFonts w:hint="eastAsia"/>
                <w:sz w:val="28"/>
                <w:szCs w:val="28"/>
              </w:rPr>
              <w:t>18</w:t>
            </w:r>
            <w:r w:rsidR="001B3043">
              <w:rPr>
                <w:rFonts w:hint="eastAsia"/>
                <w:sz w:val="28"/>
                <w:szCs w:val="28"/>
              </w:rPr>
              <w:t>人</w:t>
            </w:r>
          </w:p>
        </w:tc>
        <w:tc>
          <w:tcPr>
            <w:tcW w:w="1475" w:type="dxa"/>
          </w:tcPr>
          <w:p w14:paraId="68698D4F" w14:textId="2228A96B" w:rsidR="001B3043" w:rsidRPr="00AA7237" w:rsidRDefault="001B3043" w:rsidP="00D33B79">
            <w:pPr>
              <w:spacing w:before="20" w:after="20" w:line="60" w:lineRule="auto"/>
              <w:jc w:val="center"/>
              <w:rPr>
                <w:sz w:val="28"/>
                <w:szCs w:val="28"/>
              </w:rPr>
            </w:pPr>
            <w:r>
              <w:rPr>
                <w:rFonts w:hint="eastAsia"/>
                <w:sz w:val="28"/>
                <w:szCs w:val="28"/>
              </w:rPr>
              <w:t>24人</w:t>
            </w:r>
          </w:p>
        </w:tc>
        <w:tc>
          <w:tcPr>
            <w:tcW w:w="1447" w:type="dxa"/>
          </w:tcPr>
          <w:p w14:paraId="345EF5C1" w14:textId="4F23F9FC" w:rsidR="001B3043" w:rsidRPr="00AA7237" w:rsidRDefault="001B3043" w:rsidP="00D33B79">
            <w:pPr>
              <w:spacing w:before="20" w:after="20" w:line="60" w:lineRule="auto"/>
              <w:jc w:val="center"/>
              <w:rPr>
                <w:sz w:val="28"/>
                <w:szCs w:val="28"/>
              </w:rPr>
            </w:pPr>
            <w:r>
              <w:rPr>
                <w:rFonts w:hint="eastAsia"/>
                <w:sz w:val="28"/>
                <w:szCs w:val="28"/>
              </w:rPr>
              <w:t>205人</w:t>
            </w:r>
          </w:p>
        </w:tc>
      </w:tr>
      <w:tr w:rsidR="001B3043" w:rsidRPr="00AA7237" w14:paraId="5A817E8D" w14:textId="77777777" w:rsidTr="001B3043">
        <w:trPr>
          <w:trHeight w:val="780"/>
        </w:trPr>
        <w:tc>
          <w:tcPr>
            <w:tcW w:w="1696" w:type="dxa"/>
          </w:tcPr>
          <w:p w14:paraId="2D903868" w14:textId="77BDDEB2" w:rsidR="001B3043" w:rsidRPr="00AA7237" w:rsidRDefault="001B3043" w:rsidP="00D33B79">
            <w:pPr>
              <w:spacing w:before="20" w:after="20" w:line="60" w:lineRule="auto"/>
              <w:jc w:val="center"/>
              <w:rPr>
                <w:sz w:val="28"/>
                <w:szCs w:val="28"/>
              </w:rPr>
            </w:pPr>
            <w:r>
              <w:rPr>
                <w:rFonts w:hint="eastAsia"/>
                <w:sz w:val="28"/>
                <w:szCs w:val="28"/>
              </w:rPr>
              <w:t>35％</w:t>
            </w:r>
          </w:p>
        </w:tc>
        <w:tc>
          <w:tcPr>
            <w:tcW w:w="1560" w:type="dxa"/>
          </w:tcPr>
          <w:p w14:paraId="10D0AC59" w14:textId="4A154CA6" w:rsidR="001B3043" w:rsidRPr="00AA7237" w:rsidRDefault="001B3043" w:rsidP="00D33B79">
            <w:pPr>
              <w:spacing w:before="20" w:after="20" w:line="60" w:lineRule="auto"/>
              <w:jc w:val="center"/>
              <w:rPr>
                <w:sz w:val="28"/>
                <w:szCs w:val="28"/>
              </w:rPr>
            </w:pPr>
            <w:r>
              <w:rPr>
                <w:rFonts w:hint="eastAsia"/>
                <w:sz w:val="28"/>
                <w:szCs w:val="28"/>
              </w:rPr>
              <w:t>6％</w:t>
            </w:r>
          </w:p>
        </w:tc>
        <w:tc>
          <w:tcPr>
            <w:tcW w:w="1559" w:type="dxa"/>
          </w:tcPr>
          <w:p w14:paraId="30709F82" w14:textId="225AAAFD" w:rsidR="001B3043" w:rsidRPr="00AA7237" w:rsidRDefault="001B3043" w:rsidP="00D33B79">
            <w:pPr>
              <w:spacing w:before="20" w:after="20" w:line="60" w:lineRule="auto"/>
              <w:jc w:val="center"/>
              <w:rPr>
                <w:sz w:val="28"/>
                <w:szCs w:val="28"/>
              </w:rPr>
            </w:pPr>
            <w:r>
              <w:rPr>
                <w:rFonts w:hint="eastAsia"/>
                <w:sz w:val="28"/>
                <w:szCs w:val="28"/>
              </w:rPr>
              <w:t>3</w:t>
            </w:r>
            <w:r w:rsidR="00202F55">
              <w:rPr>
                <w:rFonts w:hint="eastAsia"/>
                <w:sz w:val="28"/>
                <w:szCs w:val="28"/>
              </w:rPr>
              <w:t>8</w:t>
            </w:r>
            <w:r>
              <w:rPr>
                <w:rFonts w:hint="eastAsia"/>
                <w:sz w:val="28"/>
                <w:szCs w:val="28"/>
              </w:rPr>
              <w:t>％</w:t>
            </w:r>
          </w:p>
        </w:tc>
        <w:tc>
          <w:tcPr>
            <w:tcW w:w="2076" w:type="dxa"/>
          </w:tcPr>
          <w:p w14:paraId="6BA41B83" w14:textId="364FE464" w:rsidR="001B3043" w:rsidRPr="00AA7237" w:rsidRDefault="001B3043" w:rsidP="00D33B79">
            <w:pPr>
              <w:spacing w:before="20" w:after="20" w:line="60" w:lineRule="auto"/>
              <w:jc w:val="center"/>
              <w:rPr>
                <w:sz w:val="28"/>
                <w:szCs w:val="28"/>
              </w:rPr>
            </w:pPr>
            <w:r>
              <w:rPr>
                <w:rFonts w:hint="eastAsia"/>
                <w:sz w:val="28"/>
                <w:szCs w:val="28"/>
              </w:rPr>
              <w:t>9％</w:t>
            </w:r>
          </w:p>
        </w:tc>
        <w:tc>
          <w:tcPr>
            <w:tcW w:w="1475" w:type="dxa"/>
          </w:tcPr>
          <w:p w14:paraId="19C60632" w14:textId="4B519859" w:rsidR="001B3043" w:rsidRPr="00AA7237" w:rsidRDefault="001B3043" w:rsidP="00D33B79">
            <w:pPr>
              <w:spacing w:before="20" w:after="20" w:line="60" w:lineRule="auto"/>
              <w:jc w:val="center"/>
              <w:rPr>
                <w:sz w:val="28"/>
                <w:szCs w:val="28"/>
              </w:rPr>
            </w:pPr>
            <w:r>
              <w:rPr>
                <w:rFonts w:hint="eastAsia"/>
                <w:sz w:val="28"/>
                <w:szCs w:val="28"/>
              </w:rPr>
              <w:t>1</w:t>
            </w:r>
            <w:r w:rsidR="00202F55">
              <w:rPr>
                <w:rFonts w:hint="eastAsia"/>
                <w:sz w:val="28"/>
                <w:szCs w:val="28"/>
              </w:rPr>
              <w:t>2</w:t>
            </w:r>
            <w:r>
              <w:rPr>
                <w:rFonts w:hint="eastAsia"/>
                <w:sz w:val="28"/>
                <w:szCs w:val="28"/>
              </w:rPr>
              <w:t>％</w:t>
            </w:r>
          </w:p>
        </w:tc>
        <w:tc>
          <w:tcPr>
            <w:tcW w:w="1447" w:type="dxa"/>
          </w:tcPr>
          <w:p w14:paraId="5CE86542" w14:textId="486196A6" w:rsidR="001B3043" w:rsidRPr="00AA7237" w:rsidRDefault="001B3043" w:rsidP="00D33B79">
            <w:pPr>
              <w:spacing w:before="20" w:after="20" w:line="60" w:lineRule="auto"/>
              <w:jc w:val="center"/>
              <w:rPr>
                <w:sz w:val="28"/>
                <w:szCs w:val="28"/>
              </w:rPr>
            </w:pPr>
            <w:r>
              <w:rPr>
                <w:rFonts w:hint="eastAsia"/>
                <w:sz w:val="28"/>
                <w:szCs w:val="28"/>
              </w:rPr>
              <w:t>100％</w:t>
            </w:r>
          </w:p>
        </w:tc>
      </w:tr>
    </w:tbl>
    <w:p w14:paraId="6EBB8532" w14:textId="6C325EA1" w:rsidR="00EF755D" w:rsidRPr="006A05DD" w:rsidRDefault="00694B09" w:rsidP="00EF755D">
      <w:pPr>
        <w:spacing w:before="20" w:after="20" w:line="60" w:lineRule="auto"/>
        <w:rPr>
          <w:sz w:val="32"/>
          <w:szCs w:val="32"/>
          <w:bdr w:val="single" w:sz="4" w:space="0" w:color="auto"/>
        </w:rPr>
      </w:pPr>
      <w:r>
        <w:rPr>
          <w:rFonts w:hint="eastAsia"/>
          <w:noProof/>
          <w:sz w:val="24"/>
          <w:szCs w:val="24"/>
        </w:rPr>
        <w:lastRenderedPageBreak/>
        <w:drawing>
          <wp:anchor distT="0" distB="0" distL="114300" distR="114300" simplePos="0" relativeHeight="251662336" behindDoc="0" locked="0" layoutInCell="1" allowOverlap="1" wp14:anchorId="1FADF8D8" wp14:editId="38205EA5">
            <wp:simplePos x="0" y="0"/>
            <wp:positionH relativeFrom="margin">
              <wp:align>right</wp:align>
            </wp:positionH>
            <wp:positionV relativeFrom="paragraph">
              <wp:posOffset>-76200</wp:posOffset>
            </wp:positionV>
            <wp:extent cx="1136981" cy="828675"/>
            <wp:effectExtent l="0" t="0" r="6350" b="0"/>
            <wp:wrapNone/>
            <wp:docPr id="18997195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6981"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55D">
        <w:rPr>
          <w:rFonts w:hint="eastAsia"/>
          <w:sz w:val="32"/>
          <w:szCs w:val="32"/>
          <w:bdr w:val="single" w:sz="4" w:space="0" w:color="auto"/>
        </w:rPr>
        <w:t>ご退職される先生より</w:t>
      </w:r>
    </w:p>
    <w:p w14:paraId="5C0AA9F0" w14:textId="3676D606" w:rsidR="00EF755D" w:rsidRPr="00904FDD" w:rsidRDefault="00EF755D" w:rsidP="00C10077">
      <w:pPr>
        <w:spacing w:before="20" w:after="20" w:line="60" w:lineRule="auto"/>
        <w:rPr>
          <w:sz w:val="24"/>
          <w:szCs w:val="24"/>
        </w:rPr>
      </w:pPr>
      <w:r w:rsidRPr="00904FDD">
        <w:rPr>
          <w:rFonts w:hint="eastAsia"/>
          <w:sz w:val="24"/>
          <w:szCs w:val="24"/>
        </w:rPr>
        <w:t>江口　佳子　先生　（家庭科）</w:t>
      </w:r>
    </w:p>
    <w:p w14:paraId="53917399" w14:textId="396649D0" w:rsidR="00027B04" w:rsidRDefault="00027B04" w:rsidP="00027B04">
      <w:pPr>
        <w:spacing w:before="20" w:after="20" w:line="60" w:lineRule="auto"/>
        <w:rPr>
          <w:noProof/>
          <w:szCs w:val="21"/>
        </w:rPr>
      </w:pPr>
      <w:r>
        <w:rPr>
          <w:rFonts w:hint="eastAsia"/>
          <w:noProof/>
          <w:szCs w:val="21"/>
        </w:rPr>
        <w:t xml:space="preserve">　昨年度担任として13期を卒業させた後、今年度は進路部で主に就職を担当しました。最初は就職や社会人になることに不安を感じて、アルバイトの方が気楽で良いのではと悩んでいた人も何人かいました。しかし会社見学へ行き自分の方向性が定まると、みるみるうちにしっかりした顔つき・言葉遣いに変化していきました。活動に真剣に取り組む様子はきちんと相手に伝わり、結果につながったと思います。卒業後は、たくさんの可能性が待っていると思います。皆が自分の力を発揮して活躍することを願っています。</w:t>
      </w:r>
    </w:p>
    <w:p w14:paraId="0E0C965E" w14:textId="54A88B67" w:rsidR="00027B04" w:rsidRDefault="00027B04" w:rsidP="00027B04">
      <w:pPr>
        <w:spacing w:before="20" w:after="20" w:line="60" w:lineRule="auto"/>
        <w:rPr>
          <w:noProof/>
          <w:szCs w:val="21"/>
        </w:rPr>
      </w:pPr>
      <w:r>
        <w:rPr>
          <w:rFonts w:hint="eastAsia"/>
          <w:noProof/>
          <w:szCs w:val="21"/>
        </w:rPr>
        <w:t xml:space="preserve">　現在、高卒就職は「超売り手市場」です。求人数は景気に大きく左右されますが、就職を目指す高校生にとって今はとてもよい時代です。皆さんの知らない企業や仕事、職種がたくさんあります。1・2年次で就職を考えている人は進路閲覧室に今年度の求人票がありますので、ぜひ一度目を通してください。今後、自分の就職活動時には労働条件をしっかり確認し、自分を安売りせず、自分の可能性を信じて、自分に合った会社を見つけて欲しいと思います。</w:t>
      </w:r>
    </w:p>
    <w:p w14:paraId="0A1E9CEB" w14:textId="6EDD830D" w:rsidR="00027B04" w:rsidRDefault="00027B04" w:rsidP="00027B04">
      <w:pPr>
        <w:spacing w:before="20" w:after="20" w:line="60" w:lineRule="auto"/>
        <w:rPr>
          <w:noProof/>
          <w:szCs w:val="21"/>
        </w:rPr>
      </w:pPr>
    </w:p>
    <w:p w14:paraId="216BB972" w14:textId="42F97505" w:rsidR="00C10077" w:rsidRPr="006A05DD" w:rsidRDefault="00BC316E" w:rsidP="00C10077">
      <w:pPr>
        <w:spacing w:before="20" w:after="20" w:line="60" w:lineRule="auto"/>
        <w:rPr>
          <w:sz w:val="32"/>
          <w:szCs w:val="32"/>
          <w:bdr w:val="single" w:sz="4" w:space="0" w:color="auto"/>
        </w:rPr>
      </w:pPr>
      <w:r>
        <w:rPr>
          <w:rFonts w:hint="eastAsia"/>
          <w:noProof/>
          <w:szCs w:val="21"/>
        </w:rPr>
        <w:drawing>
          <wp:anchor distT="0" distB="0" distL="114300" distR="114300" simplePos="0" relativeHeight="251667456" behindDoc="0" locked="0" layoutInCell="1" allowOverlap="1" wp14:anchorId="43D2C0DC" wp14:editId="6AA8EA22">
            <wp:simplePos x="0" y="0"/>
            <wp:positionH relativeFrom="margin">
              <wp:posOffset>5686425</wp:posOffset>
            </wp:positionH>
            <wp:positionV relativeFrom="paragraph">
              <wp:posOffset>98425</wp:posOffset>
            </wp:positionV>
            <wp:extent cx="675411" cy="504825"/>
            <wp:effectExtent l="0" t="0" r="0" b="0"/>
            <wp:wrapNone/>
            <wp:docPr id="106129762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411"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E44">
        <w:rPr>
          <w:rFonts w:hint="eastAsia"/>
          <w:sz w:val="32"/>
          <w:szCs w:val="32"/>
          <w:bdr w:val="single" w:sz="4" w:space="0" w:color="auto"/>
        </w:rPr>
        <w:t>異動</w:t>
      </w:r>
      <w:r w:rsidR="007E02B8">
        <w:rPr>
          <w:rFonts w:hint="eastAsia"/>
          <w:sz w:val="32"/>
          <w:szCs w:val="32"/>
          <w:bdr w:val="single" w:sz="4" w:space="0" w:color="auto"/>
        </w:rPr>
        <w:t>される先生方より</w:t>
      </w:r>
    </w:p>
    <w:p w14:paraId="471F51BE" w14:textId="3491A90F" w:rsidR="00027B04" w:rsidRDefault="00027B04" w:rsidP="00027B04">
      <w:pPr>
        <w:spacing w:before="20" w:after="20" w:line="60" w:lineRule="auto"/>
        <w:rPr>
          <w:sz w:val="24"/>
          <w:szCs w:val="24"/>
        </w:rPr>
      </w:pPr>
      <w:r>
        <w:rPr>
          <w:rFonts w:hint="eastAsia"/>
          <w:sz w:val="24"/>
          <w:szCs w:val="24"/>
        </w:rPr>
        <w:t>朝長　賢啓　先生（数学科</w:t>
      </w:r>
      <w:r w:rsidRPr="007E02B8">
        <w:rPr>
          <w:rFonts w:hint="eastAsia"/>
          <w:sz w:val="24"/>
          <w:szCs w:val="24"/>
        </w:rPr>
        <w:t>）</w:t>
      </w:r>
    </w:p>
    <w:p w14:paraId="178FC7F5" w14:textId="67FEE57F" w:rsidR="00027B04" w:rsidRPr="00152D26" w:rsidRDefault="00027B04" w:rsidP="00027B04">
      <w:pPr>
        <w:spacing w:before="20" w:after="20" w:line="60" w:lineRule="auto"/>
        <w:rPr>
          <w:noProof/>
          <w:szCs w:val="21"/>
        </w:rPr>
      </w:pPr>
      <w:r>
        <w:rPr>
          <w:rFonts w:hint="eastAsia"/>
          <w:noProof/>
          <w:szCs w:val="21"/>
        </w:rPr>
        <w:t xml:space="preserve">　生徒の皆さん、「進学したい学校はありますか」「将来働きたい仕事は何ですか」「将来の目標はありますか」この問いかけにどれだけの人が答えられるのでしょう。まだ高校生だから考えられていないという人も、少なくないのではないでしょうか。自然に人は年を取ります。いずれ大人になります。大人になると、ほとんどの人は働いてお金を稼ぎ生きていきます。誰しも自分の将来の生き方を考えなければならない場面が、遅かれ早かれ必ずやってきます。私が何を言いたいのか。自分の生き方を真剣に考えましょう。自分の生きる方向性が見つかれば、目標を立てることができます。目標を立てることができれば、その目標を達成するための計画を立てることができます。計画を立てることができれば、行動することができます。未来への一歩を踏み出しましょう。誰のためでもない。自分の幸せのために。</w:t>
      </w:r>
    </w:p>
    <w:p w14:paraId="01F6C4FE" w14:textId="7B7BAFC5" w:rsidR="00027B04" w:rsidRDefault="00027B04" w:rsidP="00027B04">
      <w:pPr>
        <w:spacing w:before="20" w:after="20" w:line="60" w:lineRule="auto"/>
        <w:rPr>
          <w:noProof/>
          <w:szCs w:val="21"/>
        </w:rPr>
      </w:pPr>
      <w:r>
        <w:rPr>
          <w:rFonts w:hint="eastAsia"/>
          <w:noProof/>
          <w:szCs w:val="21"/>
        </w:rPr>
        <w:t xml:space="preserve">　最後に、私はこの学校に7年間勤務しました。多くの生徒や先生との出会いがあり、多くの出来事がありました。今思うことは、7年間山あり谷あり充実した時間だったということです。生徒の皆さんの高校3年間が、充実したに時間なることを祈っています。7年間ありがとうございました。</w:t>
      </w:r>
    </w:p>
    <w:p w14:paraId="153C5016" w14:textId="77777777" w:rsidR="00694B09" w:rsidRPr="00BC1C42" w:rsidRDefault="00694B09" w:rsidP="00027B04">
      <w:pPr>
        <w:spacing w:before="20" w:after="20" w:line="60" w:lineRule="auto"/>
        <w:rPr>
          <w:noProof/>
          <w:szCs w:val="21"/>
        </w:rPr>
      </w:pPr>
    </w:p>
    <w:p w14:paraId="3F2CB9A0" w14:textId="4F16C47F" w:rsidR="00F17E83" w:rsidRPr="00B45745" w:rsidRDefault="00EF755D" w:rsidP="009976EF">
      <w:pPr>
        <w:spacing w:before="20" w:after="20" w:line="60" w:lineRule="auto"/>
        <w:rPr>
          <w:sz w:val="20"/>
          <w:szCs w:val="20"/>
        </w:rPr>
      </w:pPr>
      <w:r>
        <w:rPr>
          <w:rFonts w:hint="eastAsia"/>
          <w:sz w:val="24"/>
          <w:szCs w:val="24"/>
        </w:rPr>
        <w:t>金澤</w:t>
      </w:r>
      <w:r w:rsidR="005C1E44">
        <w:rPr>
          <w:rFonts w:hint="eastAsia"/>
          <w:sz w:val="24"/>
          <w:szCs w:val="24"/>
        </w:rPr>
        <w:t xml:space="preserve">　</w:t>
      </w:r>
      <w:r>
        <w:rPr>
          <w:rFonts w:hint="eastAsia"/>
          <w:sz w:val="24"/>
          <w:szCs w:val="24"/>
        </w:rPr>
        <w:t>朋子</w:t>
      </w:r>
      <w:r w:rsidR="00F17E83">
        <w:rPr>
          <w:rFonts w:hint="eastAsia"/>
          <w:sz w:val="24"/>
          <w:szCs w:val="24"/>
        </w:rPr>
        <w:t xml:space="preserve">　先生（</w:t>
      </w:r>
      <w:r>
        <w:rPr>
          <w:rFonts w:hint="eastAsia"/>
          <w:sz w:val="24"/>
          <w:szCs w:val="24"/>
        </w:rPr>
        <w:t>英語</w:t>
      </w:r>
      <w:r w:rsidR="005C1E44">
        <w:rPr>
          <w:rFonts w:hint="eastAsia"/>
          <w:sz w:val="24"/>
          <w:szCs w:val="24"/>
        </w:rPr>
        <w:t>科</w:t>
      </w:r>
      <w:r w:rsidR="007E02B8" w:rsidRPr="007E02B8">
        <w:rPr>
          <w:rFonts w:hint="eastAsia"/>
          <w:sz w:val="24"/>
          <w:szCs w:val="24"/>
        </w:rPr>
        <w:t>）</w:t>
      </w:r>
    </w:p>
    <w:p w14:paraId="4CF55173" w14:textId="557B1A50" w:rsidR="00027B04" w:rsidRDefault="00027B04" w:rsidP="00027B04">
      <w:pPr>
        <w:spacing w:before="20" w:after="20" w:line="60" w:lineRule="auto"/>
        <w:ind w:firstLineChars="100" w:firstLine="210"/>
        <w:rPr>
          <w:noProof/>
          <w:szCs w:val="21"/>
        </w:rPr>
      </w:pPr>
      <w:r w:rsidRPr="00136DF9">
        <w:rPr>
          <w:rFonts w:hint="eastAsia"/>
          <w:noProof/>
          <w:szCs w:val="21"/>
        </w:rPr>
        <w:t>このたびの人事異動により、本校を離れることになりました。皆さんとともに過ごした日々の中で、皆さんが少しずつ成長していく姿を見ることができたことを、とても嬉しく思っています。</w:t>
      </w:r>
    </w:p>
    <w:p w14:paraId="7A4297AB" w14:textId="6A639868" w:rsidR="00027B04" w:rsidRDefault="00027B04" w:rsidP="00027B04">
      <w:pPr>
        <w:spacing w:before="20" w:after="20" w:line="60" w:lineRule="auto"/>
        <w:ind w:firstLineChars="100" w:firstLine="210"/>
        <w:rPr>
          <w:noProof/>
          <w:szCs w:val="21"/>
        </w:rPr>
      </w:pPr>
      <w:r w:rsidRPr="00136DF9">
        <w:rPr>
          <w:rFonts w:hint="eastAsia"/>
          <w:noProof/>
          <w:szCs w:val="21"/>
        </w:rPr>
        <w:t>高校生活では、今を楽しむことも大切ですが、ぜひ少し先の将来についても考えてみてください。自分の希望する将来のために努力することは、とても大切で素敵なことです。もし思うようにいかないことや失敗することがあっても、もう一度やり直せばよいのです。困ったときには一人で抱え込まず、周りの人に助けを求めてください。たとえ勉強が苦手でも、新しいことを学び、知らないことを知ることは皆さんを成長させます。努力を続け、学び続けてください。</w:t>
      </w:r>
    </w:p>
    <w:p w14:paraId="1C0E3684" w14:textId="51968E53" w:rsidR="00477949" w:rsidRPr="00027B04" w:rsidRDefault="00027B04" w:rsidP="00694B09">
      <w:pPr>
        <w:spacing w:before="20" w:after="20" w:line="60" w:lineRule="auto"/>
        <w:ind w:firstLineChars="100" w:firstLine="210"/>
        <w:rPr>
          <w:szCs w:val="21"/>
        </w:rPr>
      </w:pPr>
      <w:r w:rsidRPr="00136DF9">
        <w:rPr>
          <w:rFonts w:hint="eastAsia"/>
          <w:noProof/>
          <w:szCs w:val="21"/>
        </w:rPr>
        <w:t>皆さん一人一人の未来が、希望と可能性に満ちたものになることを心から願っています。</w:t>
      </w:r>
    </w:p>
    <w:p w14:paraId="2A356E37" w14:textId="77777777" w:rsidR="00A93C51" w:rsidRDefault="00A93C51" w:rsidP="008A0838">
      <w:pPr>
        <w:spacing w:before="20" w:after="20" w:line="60" w:lineRule="auto"/>
        <w:rPr>
          <w:szCs w:val="21"/>
        </w:rPr>
      </w:pPr>
    </w:p>
    <w:sectPr w:rsidR="00A93C51" w:rsidSect="002E2BD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9AF" w14:textId="77777777" w:rsidR="008975AA" w:rsidRDefault="008975AA" w:rsidP="006752EF">
      <w:r>
        <w:separator/>
      </w:r>
    </w:p>
  </w:endnote>
  <w:endnote w:type="continuationSeparator" w:id="0">
    <w:p w14:paraId="387D9F6E" w14:textId="77777777" w:rsidR="008975AA" w:rsidRDefault="008975AA" w:rsidP="0067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0A9C" w14:textId="77777777" w:rsidR="008975AA" w:rsidRDefault="008975AA" w:rsidP="006752EF">
      <w:r>
        <w:separator/>
      </w:r>
    </w:p>
  </w:footnote>
  <w:footnote w:type="continuationSeparator" w:id="0">
    <w:p w14:paraId="395AD043" w14:textId="77777777" w:rsidR="008975AA" w:rsidRDefault="008975AA" w:rsidP="00675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E4"/>
    <w:rsid w:val="000027C8"/>
    <w:rsid w:val="00014900"/>
    <w:rsid w:val="00022436"/>
    <w:rsid w:val="00024333"/>
    <w:rsid w:val="00027B04"/>
    <w:rsid w:val="00055784"/>
    <w:rsid w:val="00067D6B"/>
    <w:rsid w:val="00074A06"/>
    <w:rsid w:val="00081837"/>
    <w:rsid w:val="00087476"/>
    <w:rsid w:val="00087775"/>
    <w:rsid w:val="000B6C49"/>
    <w:rsid w:val="000E675D"/>
    <w:rsid w:val="001174F6"/>
    <w:rsid w:val="00142E6D"/>
    <w:rsid w:val="00156393"/>
    <w:rsid w:val="001701B6"/>
    <w:rsid w:val="001A56A0"/>
    <w:rsid w:val="001B3043"/>
    <w:rsid w:val="001C48CC"/>
    <w:rsid w:val="001E43CC"/>
    <w:rsid w:val="001F6660"/>
    <w:rsid w:val="001F7248"/>
    <w:rsid w:val="00202F55"/>
    <w:rsid w:val="00241EE0"/>
    <w:rsid w:val="00251A79"/>
    <w:rsid w:val="002576B6"/>
    <w:rsid w:val="002623F7"/>
    <w:rsid w:val="00263ACC"/>
    <w:rsid w:val="002B3E18"/>
    <w:rsid w:val="002B75E8"/>
    <w:rsid w:val="002D139D"/>
    <w:rsid w:val="002D2B31"/>
    <w:rsid w:val="002E289C"/>
    <w:rsid w:val="002E2BD2"/>
    <w:rsid w:val="002E352A"/>
    <w:rsid w:val="002F1210"/>
    <w:rsid w:val="002F5CA3"/>
    <w:rsid w:val="00303A82"/>
    <w:rsid w:val="00307D5F"/>
    <w:rsid w:val="003219EA"/>
    <w:rsid w:val="00321D1F"/>
    <w:rsid w:val="003355A4"/>
    <w:rsid w:val="00336FB3"/>
    <w:rsid w:val="00343881"/>
    <w:rsid w:val="003716C6"/>
    <w:rsid w:val="003923BA"/>
    <w:rsid w:val="00395220"/>
    <w:rsid w:val="003D70FE"/>
    <w:rsid w:val="003F0E3D"/>
    <w:rsid w:val="0041762A"/>
    <w:rsid w:val="00435847"/>
    <w:rsid w:val="00444E00"/>
    <w:rsid w:val="004477BB"/>
    <w:rsid w:val="00454CCE"/>
    <w:rsid w:val="00477949"/>
    <w:rsid w:val="00480117"/>
    <w:rsid w:val="0048176B"/>
    <w:rsid w:val="004C227C"/>
    <w:rsid w:val="004C2955"/>
    <w:rsid w:val="004C7BAB"/>
    <w:rsid w:val="004D1537"/>
    <w:rsid w:val="004F6000"/>
    <w:rsid w:val="00503220"/>
    <w:rsid w:val="00527767"/>
    <w:rsid w:val="0054417D"/>
    <w:rsid w:val="005530B5"/>
    <w:rsid w:val="005556B4"/>
    <w:rsid w:val="00561A04"/>
    <w:rsid w:val="005716F7"/>
    <w:rsid w:val="005756CF"/>
    <w:rsid w:val="005923E4"/>
    <w:rsid w:val="005963B3"/>
    <w:rsid w:val="005B47E2"/>
    <w:rsid w:val="005B7454"/>
    <w:rsid w:val="005C1E44"/>
    <w:rsid w:val="005E1686"/>
    <w:rsid w:val="005E4DE4"/>
    <w:rsid w:val="00630B44"/>
    <w:rsid w:val="00651620"/>
    <w:rsid w:val="00671CAF"/>
    <w:rsid w:val="006752EF"/>
    <w:rsid w:val="00675C46"/>
    <w:rsid w:val="00680492"/>
    <w:rsid w:val="0068362F"/>
    <w:rsid w:val="006855AE"/>
    <w:rsid w:val="00694B09"/>
    <w:rsid w:val="006A05DD"/>
    <w:rsid w:val="006B4DA5"/>
    <w:rsid w:val="006C3105"/>
    <w:rsid w:val="006D01EC"/>
    <w:rsid w:val="006D075B"/>
    <w:rsid w:val="006E2112"/>
    <w:rsid w:val="00733F16"/>
    <w:rsid w:val="00734ED3"/>
    <w:rsid w:val="007542CD"/>
    <w:rsid w:val="00763AFB"/>
    <w:rsid w:val="007900F1"/>
    <w:rsid w:val="007B2440"/>
    <w:rsid w:val="007B5C88"/>
    <w:rsid w:val="007C1CE0"/>
    <w:rsid w:val="007D2820"/>
    <w:rsid w:val="007E02B8"/>
    <w:rsid w:val="007F18E1"/>
    <w:rsid w:val="00814D81"/>
    <w:rsid w:val="00814EE1"/>
    <w:rsid w:val="00824012"/>
    <w:rsid w:val="00824226"/>
    <w:rsid w:val="008400C8"/>
    <w:rsid w:val="0086065F"/>
    <w:rsid w:val="00865715"/>
    <w:rsid w:val="00880AF4"/>
    <w:rsid w:val="008853E1"/>
    <w:rsid w:val="00895454"/>
    <w:rsid w:val="00896E94"/>
    <w:rsid w:val="008973EE"/>
    <w:rsid w:val="008975AA"/>
    <w:rsid w:val="008A0838"/>
    <w:rsid w:val="008A5DDB"/>
    <w:rsid w:val="008B7469"/>
    <w:rsid w:val="008E3E73"/>
    <w:rsid w:val="008F0AB4"/>
    <w:rsid w:val="00904FDD"/>
    <w:rsid w:val="0091766B"/>
    <w:rsid w:val="009466C0"/>
    <w:rsid w:val="0096138D"/>
    <w:rsid w:val="009619B1"/>
    <w:rsid w:val="00964566"/>
    <w:rsid w:val="0097368C"/>
    <w:rsid w:val="00987AF5"/>
    <w:rsid w:val="009976EF"/>
    <w:rsid w:val="009D594C"/>
    <w:rsid w:val="009E3017"/>
    <w:rsid w:val="009F149D"/>
    <w:rsid w:val="00A22EB8"/>
    <w:rsid w:val="00A3158B"/>
    <w:rsid w:val="00A460AF"/>
    <w:rsid w:val="00A65117"/>
    <w:rsid w:val="00A71381"/>
    <w:rsid w:val="00A76169"/>
    <w:rsid w:val="00A76FFB"/>
    <w:rsid w:val="00A81344"/>
    <w:rsid w:val="00A870CA"/>
    <w:rsid w:val="00A906A1"/>
    <w:rsid w:val="00A93C51"/>
    <w:rsid w:val="00A97EAB"/>
    <w:rsid w:val="00AA7237"/>
    <w:rsid w:val="00AC160E"/>
    <w:rsid w:val="00AE601C"/>
    <w:rsid w:val="00AE6C5E"/>
    <w:rsid w:val="00B2408D"/>
    <w:rsid w:val="00B27233"/>
    <w:rsid w:val="00B44D3D"/>
    <w:rsid w:val="00B45745"/>
    <w:rsid w:val="00B53D8D"/>
    <w:rsid w:val="00B55861"/>
    <w:rsid w:val="00B74DFA"/>
    <w:rsid w:val="00B912FA"/>
    <w:rsid w:val="00B97864"/>
    <w:rsid w:val="00BB5A1A"/>
    <w:rsid w:val="00BC316E"/>
    <w:rsid w:val="00BC689F"/>
    <w:rsid w:val="00BF2823"/>
    <w:rsid w:val="00C10077"/>
    <w:rsid w:val="00C62EC2"/>
    <w:rsid w:val="00C64768"/>
    <w:rsid w:val="00C767AE"/>
    <w:rsid w:val="00C867EA"/>
    <w:rsid w:val="00C95301"/>
    <w:rsid w:val="00CA7D7D"/>
    <w:rsid w:val="00CB3D96"/>
    <w:rsid w:val="00CC64B6"/>
    <w:rsid w:val="00CC6DDF"/>
    <w:rsid w:val="00CD6AFF"/>
    <w:rsid w:val="00CE2161"/>
    <w:rsid w:val="00CE7D49"/>
    <w:rsid w:val="00D1011E"/>
    <w:rsid w:val="00D130D5"/>
    <w:rsid w:val="00D1346D"/>
    <w:rsid w:val="00D26D6F"/>
    <w:rsid w:val="00D37294"/>
    <w:rsid w:val="00D45768"/>
    <w:rsid w:val="00D613A7"/>
    <w:rsid w:val="00D66580"/>
    <w:rsid w:val="00D67DB7"/>
    <w:rsid w:val="00D74EF3"/>
    <w:rsid w:val="00D76193"/>
    <w:rsid w:val="00D837F1"/>
    <w:rsid w:val="00D8736A"/>
    <w:rsid w:val="00DB009F"/>
    <w:rsid w:val="00E04CC1"/>
    <w:rsid w:val="00E064A4"/>
    <w:rsid w:val="00E126BB"/>
    <w:rsid w:val="00E13119"/>
    <w:rsid w:val="00E25F0F"/>
    <w:rsid w:val="00E26AC8"/>
    <w:rsid w:val="00E44012"/>
    <w:rsid w:val="00E65FED"/>
    <w:rsid w:val="00EB416E"/>
    <w:rsid w:val="00EC270F"/>
    <w:rsid w:val="00ED4E56"/>
    <w:rsid w:val="00EE05AF"/>
    <w:rsid w:val="00EE1597"/>
    <w:rsid w:val="00EE4012"/>
    <w:rsid w:val="00EF57A2"/>
    <w:rsid w:val="00EF755D"/>
    <w:rsid w:val="00F12C90"/>
    <w:rsid w:val="00F1448F"/>
    <w:rsid w:val="00F17E83"/>
    <w:rsid w:val="00F271B4"/>
    <w:rsid w:val="00F3096C"/>
    <w:rsid w:val="00F3523C"/>
    <w:rsid w:val="00F46ECD"/>
    <w:rsid w:val="00F7338C"/>
    <w:rsid w:val="00F77AD1"/>
    <w:rsid w:val="00F90779"/>
    <w:rsid w:val="00F960C9"/>
    <w:rsid w:val="00FC26A7"/>
    <w:rsid w:val="00FC6138"/>
    <w:rsid w:val="00FE77D5"/>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CCE03"/>
  <w15:chartTrackingRefBased/>
  <w15:docId w15:val="{C77FBFB8-69A0-412F-AD2C-279389C8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4EE1"/>
    <w:pPr>
      <w:ind w:left="840"/>
    </w:pPr>
  </w:style>
  <w:style w:type="paragraph" w:styleId="a5">
    <w:name w:val="Date"/>
    <w:basedOn w:val="a"/>
    <w:next w:val="a"/>
    <w:link w:val="a6"/>
    <w:uiPriority w:val="99"/>
    <w:semiHidden/>
    <w:unhideWhenUsed/>
    <w:rsid w:val="00FF6105"/>
  </w:style>
  <w:style w:type="character" w:customStyle="1" w:styleId="a6">
    <w:name w:val="日付 (文字)"/>
    <w:basedOn w:val="a0"/>
    <w:link w:val="a5"/>
    <w:uiPriority w:val="99"/>
    <w:semiHidden/>
    <w:rsid w:val="00FF6105"/>
  </w:style>
  <w:style w:type="paragraph" w:styleId="a7">
    <w:name w:val="Balloon Text"/>
    <w:basedOn w:val="a"/>
    <w:link w:val="a8"/>
    <w:uiPriority w:val="99"/>
    <w:semiHidden/>
    <w:unhideWhenUsed/>
    <w:rsid w:val="005556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56B4"/>
    <w:rPr>
      <w:rFonts w:asciiTheme="majorHAnsi" w:eastAsiaTheme="majorEastAsia" w:hAnsiTheme="majorHAnsi" w:cstheme="majorBidi"/>
      <w:sz w:val="18"/>
      <w:szCs w:val="18"/>
    </w:rPr>
  </w:style>
  <w:style w:type="paragraph" w:styleId="a9">
    <w:name w:val="header"/>
    <w:basedOn w:val="a"/>
    <w:link w:val="aa"/>
    <w:uiPriority w:val="99"/>
    <w:unhideWhenUsed/>
    <w:rsid w:val="006752EF"/>
    <w:pPr>
      <w:tabs>
        <w:tab w:val="center" w:pos="4252"/>
        <w:tab w:val="right" w:pos="8504"/>
      </w:tabs>
      <w:snapToGrid w:val="0"/>
    </w:pPr>
  </w:style>
  <w:style w:type="character" w:customStyle="1" w:styleId="aa">
    <w:name w:val="ヘッダー (文字)"/>
    <w:basedOn w:val="a0"/>
    <w:link w:val="a9"/>
    <w:uiPriority w:val="99"/>
    <w:rsid w:val="006752EF"/>
  </w:style>
  <w:style w:type="paragraph" w:styleId="ab">
    <w:name w:val="footer"/>
    <w:basedOn w:val="a"/>
    <w:link w:val="ac"/>
    <w:uiPriority w:val="99"/>
    <w:unhideWhenUsed/>
    <w:rsid w:val="006752EF"/>
    <w:pPr>
      <w:tabs>
        <w:tab w:val="center" w:pos="4252"/>
        <w:tab w:val="right" w:pos="8504"/>
      </w:tabs>
      <w:snapToGrid w:val="0"/>
    </w:pPr>
  </w:style>
  <w:style w:type="character" w:customStyle="1" w:styleId="ac">
    <w:name w:val="フッター (文字)"/>
    <w:basedOn w:val="a0"/>
    <w:link w:val="ab"/>
    <w:uiPriority w:val="99"/>
    <w:rsid w:val="0067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domainq.net/daruma-doll-001721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3952-12C8-4819-9FE1-C4672FC7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2265</Words>
  <Characters>2364</Characters>
  <Application>Microsoft Office Word</Application>
  <DocSecurity>0</DocSecurity>
  <Lines>82</Lines>
  <Paragraphs>42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平野　達朗</cp:lastModifiedBy>
  <cp:revision>14</cp:revision>
  <cp:lastPrinted>2026-03-23T00:51:00Z</cp:lastPrinted>
  <dcterms:created xsi:type="dcterms:W3CDTF">2026-03-02T00:37:00Z</dcterms:created>
  <dcterms:modified xsi:type="dcterms:W3CDTF">2026-03-23T01:07:00Z</dcterms:modified>
</cp:coreProperties>
</file>